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ascii="Ubuntu" w:hAnsi="Ubuntu"/>
          <w:color w:val="262626" w:themeColor="text1" w:themeTint="D9"/>
          <w14:textFill>
            <w14:solidFill>
              <w14:schemeClr w14:val="tx1">
                <w14:lumMod w14:val="85000"/>
                <w14:lumOff w14:val="15000"/>
              </w14:schemeClr>
            </w14:solidFill>
          </w14:textFill>
        </w:rPr>
        <w:drawing>
          <wp:inline distT="0" distB="0" distL="0" distR="0">
            <wp:extent cx="2495550" cy="600075"/>
            <wp:effectExtent l="0" t="0" r="0" b="9525"/>
            <wp:docPr id="8" name="Рисунок 8" descr="C:\Р-РАБОТА\ИНТЦ\ФОНД_РАЗВИТИЯ\ФОНД_ДРУГОЕ\русс_прям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C:\Р-РАБОТА\ИНТЦ\ФОНД_РАЗВИТИЯ\ФОНД_ДРУГОЕ\русс_прямой.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513104" cy="604296"/>
                    </a:xfrm>
                    <a:prstGeom prst="rect">
                      <a:avLst/>
                    </a:prstGeom>
                    <a:noFill/>
                    <a:ln>
                      <a:noFill/>
                    </a:ln>
                  </pic:spPr>
                </pic:pic>
              </a:graphicData>
            </a:graphic>
          </wp:inline>
        </w:drawing>
      </w:r>
    </w:p>
    <w:p>
      <w:pPr>
        <w:jc w:val="center"/>
        <w:rPr>
          <w:sz w:val="24"/>
          <w:szCs w:val="24"/>
        </w:rPr>
      </w:pPr>
      <w:r>
        <w:rPr>
          <w:sz w:val="24"/>
          <w:szCs w:val="24"/>
        </w:rPr>
        <w:t xml:space="preserve">ФОНД РАЗВИТИЯ ИННОВАЦИОННОГО НАУЧНО-ТЕХНОЛОГИЧЕСКОГО </w:t>
      </w:r>
    </w:p>
    <w:p>
      <w:pPr>
        <w:jc w:val="center"/>
        <w:rPr>
          <w:sz w:val="24"/>
          <w:szCs w:val="24"/>
        </w:rPr>
      </w:pPr>
      <w:r>
        <w:rPr>
          <w:sz w:val="24"/>
          <w:szCs w:val="24"/>
        </w:rPr>
        <w:t xml:space="preserve">ЦЕНТРА «РУССКИЙ» </w:t>
      </w:r>
    </w:p>
    <w:p>
      <w:pPr>
        <w:jc w:val="center"/>
        <w:rPr>
          <w:sz w:val="24"/>
          <w:szCs w:val="24"/>
        </w:rPr>
      </w:pPr>
      <w:r>
        <w:rPr>
          <w:sz w:val="24"/>
          <w:szCs w:val="24"/>
        </w:rPr>
        <w:t>(Фонд развития ИНТЦ «Русский»)</w:t>
      </w:r>
    </w:p>
    <w:p>
      <w:pPr>
        <w:jc w:val="center"/>
        <w:rPr>
          <w:sz w:val="24"/>
          <w:szCs w:val="24"/>
        </w:rPr>
      </w:pPr>
    </w:p>
    <w:p>
      <w:pPr>
        <w:jc w:val="center"/>
        <w:rPr>
          <w:b/>
          <w:sz w:val="24"/>
          <w:szCs w:val="24"/>
        </w:rPr>
      </w:pPr>
    </w:p>
    <w:p>
      <w:pPr>
        <w:tabs>
          <w:tab w:val="left" w:pos="544"/>
          <w:tab w:val="left" w:pos="7668"/>
        </w:tabs>
        <w:jc w:val="right"/>
        <w:rPr>
          <w:b/>
          <w:sz w:val="22"/>
          <w:szCs w:val="22"/>
        </w:rPr>
      </w:pPr>
    </w:p>
    <w:p>
      <w:pPr>
        <w:pStyle w:val="38"/>
        <w:shd w:val="clear" w:color="auto" w:fill="FFFFFF"/>
        <w:ind w:left="284"/>
        <w:jc w:val="right"/>
        <w:rPr>
          <w:spacing w:val="-2"/>
          <w:sz w:val="24"/>
          <w:szCs w:val="24"/>
        </w:rPr>
      </w:pPr>
    </w:p>
    <w:p>
      <w:pPr>
        <w:ind w:left="6237"/>
        <w:jc w:val="right"/>
        <w:rPr>
          <w:sz w:val="24"/>
          <w:szCs w:val="24"/>
        </w:rPr>
      </w:pPr>
    </w:p>
    <w:p>
      <w:pPr>
        <w:suppressAutoHyphens/>
        <w:jc w:val="right"/>
        <w:outlineLvl w:val="0"/>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center"/>
        <w:rPr>
          <w:b/>
          <w:bCs/>
          <w:sz w:val="28"/>
          <w:szCs w:val="28"/>
        </w:rPr>
      </w:pPr>
      <w:r>
        <w:rPr>
          <w:b/>
          <w:bCs/>
          <w:sz w:val="28"/>
          <w:szCs w:val="28"/>
        </w:rPr>
        <w:t>Документация</w:t>
      </w:r>
    </w:p>
    <w:p>
      <w:pPr>
        <w:ind w:left="800" w:leftChars="400" w:right="922" w:rightChars="461"/>
        <w:jc w:val="center"/>
        <w:rPr>
          <w:b/>
          <w:bCs/>
          <w:sz w:val="28"/>
          <w:szCs w:val="28"/>
        </w:rPr>
      </w:pPr>
      <w:r>
        <w:rPr>
          <w:b/>
          <w:bCs/>
          <w:sz w:val="28"/>
          <w:szCs w:val="28"/>
        </w:rPr>
        <w:t>предварительного квалификационного отбора с целью проведения закупочных процедур для заключения договоров на выполнение строительно-монтажных работ на объектах инновационного научно-технологического центра «Русский» (№ПКО-002-23)</w:t>
      </w:r>
    </w:p>
    <w:p>
      <w:pPr>
        <w:tabs>
          <w:tab w:val="left" w:pos="7988"/>
        </w:tabs>
        <w:ind w:right="-1"/>
        <w:jc w:val="center"/>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2"/>
          <w:szCs w:val="24"/>
        </w:rPr>
      </w:pPr>
      <w:r>
        <w:rPr>
          <w:sz w:val="22"/>
          <w:szCs w:val="24"/>
        </w:rPr>
        <w:t>СОГЛАСОВАНО:</w:t>
      </w:r>
    </w:p>
    <w:p>
      <w:pPr>
        <w:tabs>
          <w:tab w:val="left" w:pos="7988"/>
        </w:tabs>
        <w:ind w:right="-1"/>
        <w:rPr>
          <w:sz w:val="22"/>
          <w:szCs w:val="24"/>
        </w:rPr>
      </w:pPr>
    </w:p>
    <w:p>
      <w:pPr>
        <w:tabs>
          <w:tab w:val="left" w:pos="7988"/>
        </w:tabs>
        <w:ind w:right="-1"/>
        <w:rPr>
          <w:sz w:val="22"/>
          <w:szCs w:val="22"/>
        </w:rPr>
      </w:pPr>
    </w:p>
    <w:p>
      <w:pPr>
        <w:tabs>
          <w:tab w:val="left" w:pos="7988"/>
        </w:tabs>
        <w:ind w:right="-1"/>
        <w:rPr>
          <w:sz w:val="22"/>
          <w:szCs w:val="22"/>
        </w:rPr>
      </w:pPr>
      <w:r>
        <w:rPr>
          <w:sz w:val="22"/>
          <w:szCs w:val="22"/>
        </w:rPr>
        <w:t>Заместитель генерального директора по капитальному строительству</w:t>
      </w:r>
    </w:p>
    <w:p>
      <w:pPr>
        <w:tabs>
          <w:tab w:val="left" w:pos="7988"/>
        </w:tabs>
        <w:ind w:right="-1"/>
        <w:rPr>
          <w:sz w:val="22"/>
          <w:szCs w:val="22"/>
        </w:rPr>
      </w:pPr>
      <w:r>
        <w:rPr>
          <w:sz w:val="22"/>
          <w:szCs w:val="22"/>
        </w:rPr>
        <w:t>/М.В. Ведяшкин/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закупок  </w:t>
      </w:r>
    </w:p>
    <w:p>
      <w:pPr>
        <w:tabs>
          <w:tab w:val="left" w:pos="7988"/>
        </w:tabs>
        <w:ind w:right="-1"/>
        <w:rPr>
          <w:sz w:val="22"/>
          <w:szCs w:val="22"/>
        </w:rPr>
      </w:pPr>
      <w:r>
        <w:rPr>
          <w:sz w:val="22"/>
          <w:szCs w:val="22"/>
        </w:rPr>
        <w:t>/Осипов Е.Ю./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капитального строительства </w:t>
      </w:r>
    </w:p>
    <w:p>
      <w:pPr>
        <w:tabs>
          <w:tab w:val="left" w:pos="7988"/>
        </w:tabs>
        <w:ind w:right="-1"/>
        <w:rPr>
          <w:sz w:val="22"/>
          <w:szCs w:val="22"/>
        </w:rPr>
      </w:pPr>
      <w:r>
        <w:rPr>
          <w:sz w:val="22"/>
          <w:szCs w:val="22"/>
        </w:rPr>
        <w:t>/П.В. Даюнов/ _________________</w:t>
      </w:r>
    </w:p>
    <w:p>
      <w:pPr>
        <w:rPr>
          <w:sz w:val="22"/>
          <w:szCs w:val="24"/>
        </w:rPr>
      </w:pPr>
    </w:p>
    <w:p>
      <w:pPr>
        <w:jc w:val="center"/>
        <w:rPr>
          <w:b/>
          <w:sz w:val="24"/>
          <w:szCs w:val="24"/>
        </w:rPr>
      </w:pPr>
    </w:p>
    <w:p>
      <w:pPr>
        <w:jc w:val="center"/>
        <w:rPr>
          <w:b/>
          <w:sz w:val="24"/>
          <w:szCs w:val="24"/>
        </w:rPr>
      </w:pPr>
    </w:p>
    <w:p>
      <w:pPr>
        <w:jc w:val="center"/>
        <w:rPr>
          <w:b/>
          <w:sz w:val="24"/>
          <w:szCs w:val="24"/>
        </w:rPr>
      </w:pPr>
    </w:p>
    <w:p>
      <w:pPr>
        <w:jc w:val="center"/>
        <w:rPr>
          <w:b/>
          <w:sz w:val="22"/>
          <w:szCs w:val="22"/>
        </w:rPr>
      </w:pPr>
      <w:r>
        <w:rPr>
          <w:b/>
          <w:sz w:val="24"/>
          <w:szCs w:val="24"/>
        </w:rPr>
        <w:t>г. Владивосток, 2023 г.</w:t>
      </w:r>
      <w:r>
        <w:rPr>
          <w:b/>
          <w:sz w:val="24"/>
          <w:szCs w:val="24"/>
        </w:rPr>
        <w:br w:type="page"/>
      </w:r>
    </w:p>
    <w:p>
      <w:pPr>
        <w:jc w:val="center"/>
        <w:rPr>
          <w:b/>
          <w:sz w:val="24"/>
          <w:szCs w:val="24"/>
        </w:rPr>
      </w:pPr>
      <w:bookmarkStart w:id="0" w:name="_Toc314833514"/>
      <w:bookmarkStart w:id="1" w:name="_Toc315167360"/>
      <w:bookmarkStart w:id="2" w:name="_Toc95220070"/>
      <w:r>
        <w:rPr>
          <w:b/>
          <w:sz w:val="24"/>
          <w:szCs w:val="24"/>
        </w:rPr>
        <w:t xml:space="preserve">РАЗДЕЛ I. </w:t>
      </w:r>
      <w:bookmarkEnd w:id="0"/>
      <w:bookmarkEnd w:id="1"/>
      <w:r>
        <w:rPr>
          <w:b/>
          <w:sz w:val="24"/>
          <w:szCs w:val="24"/>
        </w:rPr>
        <w:t>ОБЩИЕ СВЕДЕНИЯ</w:t>
      </w:r>
    </w:p>
    <w:p>
      <w:pPr>
        <w:jc w:val="right"/>
        <w:rPr>
          <w:sz w:val="24"/>
          <w:szCs w:val="24"/>
        </w:rPr>
      </w:pPr>
    </w:p>
    <w:p>
      <w:pPr>
        <w:numPr>
          <w:ilvl w:val="0"/>
          <w:numId w:val="9"/>
        </w:numPr>
        <w:spacing w:after="60"/>
        <w:ind w:left="0" w:firstLine="0"/>
        <w:jc w:val="center"/>
        <w:rPr>
          <w:rStyle w:val="55"/>
          <w:rFonts w:ascii="Times New Roman" w:hAnsi="Times New Roman" w:cs="Times New Roman"/>
          <w:b/>
          <w:bCs/>
          <w:color w:val="auto"/>
          <w:sz w:val="24"/>
          <w:szCs w:val="24"/>
        </w:rPr>
      </w:pPr>
      <w:bookmarkStart w:id="3" w:name="_Toc27723"/>
      <w:bookmarkStart w:id="4" w:name="_Toc28747"/>
      <w:bookmarkStart w:id="5" w:name="_Toc14862"/>
      <w:bookmarkStart w:id="6" w:name="_Toc18404"/>
      <w:r>
        <w:rPr>
          <w:rStyle w:val="55"/>
          <w:rFonts w:ascii="Times New Roman" w:hAnsi="Times New Roman" w:cs="Times New Roman"/>
          <w:b/>
          <w:bCs/>
          <w:color w:val="auto"/>
          <w:sz w:val="24"/>
          <w:szCs w:val="24"/>
        </w:rPr>
        <w:t>Общие сведения</w:t>
      </w:r>
    </w:p>
    <w:bookmarkEnd w:id="3"/>
    <w:bookmarkEnd w:id="4"/>
    <w:bookmarkEnd w:id="5"/>
    <w:bookmarkEnd w:id="6"/>
    <w:p>
      <w:pPr>
        <w:pStyle w:val="103"/>
        <w:numPr>
          <w:ilvl w:val="1"/>
          <w:numId w:val="10"/>
        </w:numPr>
        <w:spacing w:before="0" w:after="0"/>
        <w:ind w:left="0" w:firstLine="0"/>
        <w:rPr>
          <w:szCs w:val="24"/>
        </w:rPr>
      </w:pPr>
      <w:r>
        <w:rPr>
          <w:szCs w:val="24"/>
        </w:rPr>
        <w:t xml:space="preserve">Заказчик Фонд развития ИНТЦ «Русский» от даты, указанной в пункте </w:t>
      </w:r>
      <w:r>
        <w:rPr>
          <w:szCs w:val="24"/>
        </w:rPr>
        <w:fldChar w:fldCharType="begin"/>
      </w:r>
      <w:r>
        <w:rPr>
          <w:szCs w:val="24"/>
        </w:rPr>
        <w:instrText xml:space="preserve"> REF _Ref2430 \n \h </w:instrText>
      </w:r>
      <w:r>
        <w:rPr>
          <w:szCs w:val="24"/>
        </w:rPr>
        <w:fldChar w:fldCharType="separate"/>
      </w:r>
      <w:r>
        <w:rPr>
          <w:szCs w:val="24"/>
        </w:rPr>
        <w:t>4.2.11</w:t>
      </w:r>
      <w:r>
        <w:rPr>
          <w:szCs w:val="24"/>
        </w:rPr>
        <w:fldChar w:fldCharType="end"/>
      </w:r>
      <w:r>
        <w:rPr>
          <w:szCs w:val="24"/>
        </w:rPr>
        <w:t xml:space="preserve">, приглашает лиц, указанных в пункте </w:t>
      </w:r>
      <w:r>
        <w:rPr>
          <w:szCs w:val="24"/>
        </w:rPr>
        <w:fldChar w:fldCharType="begin"/>
      </w:r>
      <w:r>
        <w:rPr>
          <w:szCs w:val="24"/>
        </w:rPr>
        <w:instrText xml:space="preserve"> REF _Ref32612 \n \h </w:instrText>
      </w:r>
      <w:r>
        <w:rPr>
          <w:szCs w:val="24"/>
        </w:rPr>
        <w:fldChar w:fldCharType="separate"/>
      </w:r>
      <w:r>
        <w:rPr>
          <w:szCs w:val="24"/>
        </w:rPr>
        <w:t>4.2.4</w:t>
      </w:r>
      <w:r>
        <w:rPr>
          <w:szCs w:val="24"/>
        </w:rPr>
        <w:fldChar w:fldCharType="end"/>
      </w:r>
      <w:r>
        <w:rPr>
          <w:szCs w:val="24"/>
        </w:rPr>
        <w:t xml:space="preserve">, к участию в предварительном квалификационном отборе, с целью заключения договора, предмет которого указан в пункте </w:t>
      </w:r>
      <w:r>
        <w:rPr>
          <w:szCs w:val="24"/>
        </w:rPr>
        <w:fldChar w:fldCharType="begin"/>
      </w:r>
      <w:r>
        <w:rPr>
          <w:szCs w:val="24"/>
        </w:rPr>
        <w:instrText xml:space="preserve"> REF _Ref32165 \n \h </w:instrText>
      </w:r>
      <w:r>
        <w:rPr>
          <w:szCs w:val="24"/>
        </w:rPr>
        <w:fldChar w:fldCharType="separate"/>
      </w:r>
      <w:r>
        <w:rPr>
          <w:szCs w:val="24"/>
        </w:rPr>
        <w:t>4.2.2</w:t>
      </w:r>
      <w:r>
        <w:rPr>
          <w:szCs w:val="24"/>
        </w:rPr>
        <w:fldChar w:fldCharType="end"/>
      </w:r>
      <w:r>
        <w:rPr>
          <w:szCs w:val="24"/>
        </w:rPr>
        <w:t>.</w:t>
      </w:r>
    </w:p>
    <w:p>
      <w:pPr>
        <w:pStyle w:val="103"/>
        <w:numPr>
          <w:ilvl w:val="1"/>
          <w:numId w:val="10"/>
        </w:numPr>
        <w:spacing w:before="0" w:after="0"/>
        <w:ind w:left="0" w:firstLine="0"/>
        <w:rPr>
          <w:szCs w:val="24"/>
        </w:rPr>
      </w:pPr>
      <w:r>
        <w:rPr>
          <w:szCs w:val="24"/>
        </w:rPr>
        <w:t>Под процедурой проведения предварительного квалификационного отбора понимается деятельность Заказчика по отбору квалифицированных поставщиков, с которыми могут быть заключены договоры, и в рамках которой Заказчик имеет право установить условие о том, что к участию в последующих закупочных процедурах допускаются только лица, включенные в соответствующий направлению закупки Реестр квалифицированных поставщиков (далее - Реестр).</w:t>
      </w:r>
    </w:p>
    <w:p>
      <w:pPr>
        <w:pStyle w:val="103"/>
        <w:numPr>
          <w:ilvl w:val="1"/>
          <w:numId w:val="10"/>
        </w:numPr>
        <w:tabs>
          <w:tab w:val="clear" w:pos="567"/>
        </w:tabs>
        <w:spacing w:before="0" w:after="0"/>
        <w:ind w:left="0" w:firstLine="0"/>
        <w:rPr>
          <w:szCs w:val="24"/>
        </w:rPr>
      </w:pPr>
      <w:r>
        <w:rPr>
          <w:szCs w:val="24"/>
        </w:rPr>
        <w:t xml:space="preserve">Данная процедура предварительного квалификационного отбора не является торгами, и ее проведение не регулируется статьями 447-449 Гражданского кодекса Российской Федерации. Данная процедура конкурентного отбора также не является публичным конкурсом и не регулируется статьями 1057-1061 Гражданского кодекса Российской Федерации. </w:t>
      </w:r>
    </w:p>
    <w:p>
      <w:pPr>
        <w:pStyle w:val="103"/>
        <w:numPr>
          <w:ilvl w:val="1"/>
          <w:numId w:val="10"/>
        </w:numPr>
        <w:tabs>
          <w:tab w:val="clear" w:pos="567"/>
        </w:tabs>
        <w:spacing w:before="0" w:after="0"/>
        <w:ind w:left="0" w:firstLine="0"/>
        <w:rPr>
          <w:szCs w:val="24"/>
        </w:rPr>
      </w:pPr>
      <w:r>
        <w:rPr>
          <w:szCs w:val="24"/>
        </w:rPr>
        <w:t>Предварительный квалификационный отбор (далее - Отбор) не является процедурой закупки и не налагает на Заказчика обязанностей по заключению договора по результатам его проведения.</w:t>
      </w:r>
    </w:p>
    <w:p>
      <w:pPr>
        <w:numPr>
          <w:ilvl w:val="1"/>
          <w:numId w:val="10"/>
        </w:numPr>
        <w:spacing w:before="120"/>
        <w:ind w:left="0" w:firstLine="0"/>
        <w:rPr>
          <w:b/>
          <w:bCs/>
          <w:sz w:val="24"/>
          <w:szCs w:val="24"/>
        </w:rPr>
      </w:pPr>
      <w:bookmarkStart w:id="7" w:name="_Ref514509614"/>
      <w:bookmarkStart w:id="8" w:name="_Toc123123756"/>
      <w:r>
        <w:rPr>
          <w:b/>
          <w:bCs/>
          <w:sz w:val="24"/>
          <w:szCs w:val="24"/>
        </w:rPr>
        <w:t xml:space="preserve">Особые положения при проведении Отбора с использованием </w:t>
      </w:r>
      <w:bookmarkEnd w:id="7"/>
      <w:bookmarkEnd w:id="8"/>
      <w:r>
        <w:rPr>
          <w:b/>
          <w:bCs/>
          <w:sz w:val="24"/>
          <w:szCs w:val="24"/>
        </w:rPr>
        <w:t>электронной торговой площадки (далее - ЭТП):</w:t>
      </w:r>
    </w:p>
    <w:p>
      <w:pPr>
        <w:numPr>
          <w:ilvl w:val="2"/>
          <w:numId w:val="10"/>
        </w:numPr>
        <w:ind w:left="0" w:firstLine="0"/>
        <w:jc w:val="both"/>
        <w:rPr>
          <w:sz w:val="24"/>
          <w:szCs w:val="24"/>
        </w:rPr>
      </w:pPr>
      <w:r>
        <w:rPr>
          <w:sz w:val="24"/>
          <w:szCs w:val="24"/>
        </w:rPr>
        <w:t xml:space="preserve">Форма проведения Отбора (с использованием ЭТП или без нее) установлена в пункте </w:t>
      </w:r>
      <w:r>
        <w:rPr>
          <w:sz w:val="24"/>
          <w:szCs w:val="24"/>
        </w:rPr>
        <w:fldChar w:fldCharType="begin"/>
      </w:r>
      <w:r>
        <w:rPr>
          <w:sz w:val="24"/>
          <w:szCs w:val="24"/>
        </w:rPr>
        <w:instrText xml:space="preserve"> REF _Ref32449 \n \h </w:instrText>
      </w:r>
      <w:r>
        <w:rPr>
          <w:sz w:val="24"/>
          <w:szCs w:val="24"/>
        </w:rPr>
        <w:fldChar w:fldCharType="separate"/>
      </w:r>
      <w:r>
        <w:rPr>
          <w:sz w:val="24"/>
          <w:szCs w:val="24"/>
        </w:rPr>
        <w:t>4.2.7</w:t>
      </w:r>
      <w:r>
        <w:rPr>
          <w:sz w:val="24"/>
          <w:szCs w:val="24"/>
        </w:rPr>
        <w:fldChar w:fldCharType="end"/>
      </w:r>
      <w:r>
        <w:rPr>
          <w:sz w:val="24"/>
          <w:szCs w:val="24"/>
        </w:rPr>
        <w:t xml:space="preserve"> Документации об отборе. В случае проведения Отбора с использованием ЭТП Участник обязан учитывать особенности, предусмотренные настоящим подразделом.</w:t>
      </w:r>
    </w:p>
    <w:p>
      <w:pPr>
        <w:numPr>
          <w:ilvl w:val="2"/>
          <w:numId w:val="10"/>
        </w:numPr>
        <w:ind w:left="0" w:firstLine="0"/>
        <w:jc w:val="both"/>
        <w:rPr>
          <w:sz w:val="24"/>
          <w:szCs w:val="24"/>
        </w:rPr>
      </w:pPr>
      <w:r>
        <w:rPr>
          <w:sz w:val="24"/>
          <w:szCs w:val="24"/>
        </w:rPr>
        <w:t xml:space="preserve">Наименование ЭТП, посредством которой проводится закупка, указано в пункте </w:t>
      </w:r>
      <w:r>
        <w:rPr>
          <w:sz w:val="24"/>
          <w:szCs w:val="24"/>
        </w:rPr>
        <w:fldChar w:fldCharType="begin"/>
      </w:r>
      <w:r>
        <w:rPr>
          <w:sz w:val="24"/>
          <w:szCs w:val="24"/>
        </w:rPr>
        <w:instrText xml:space="preserve"> REF _Ref101 \n \h </w:instrText>
      </w:r>
      <w:r>
        <w:rPr>
          <w:sz w:val="24"/>
          <w:szCs w:val="24"/>
        </w:rPr>
        <w:fldChar w:fldCharType="separate"/>
      </w:r>
      <w:r>
        <w:rPr>
          <w:sz w:val="24"/>
          <w:szCs w:val="24"/>
        </w:rPr>
        <w:t>4.2.8</w:t>
      </w:r>
      <w:r>
        <w:rPr>
          <w:sz w:val="24"/>
          <w:szCs w:val="24"/>
        </w:rPr>
        <w:fldChar w:fldCharType="end"/>
      </w:r>
      <w:r>
        <w:rPr>
          <w:sz w:val="24"/>
          <w:szCs w:val="24"/>
        </w:rPr>
        <w:t>. Документации об отборе. До подачи заявки Участник обязан ознакомиться с Регламентом и инструкциями, опубликованными на сайте соответствующей ЭТП.</w:t>
      </w:r>
    </w:p>
    <w:p>
      <w:pPr>
        <w:numPr>
          <w:ilvl w:val="2"/>
          <w:numId w:val="10"/>
        </w:numPr>
        <w:ind w:left="0" w:firstLine="0"/>
        <w:jc w:val="both"/>
        <w:rPr>
          <w:sz w:val="24"/>
          <w:szCs w:val="24"/>
        </w:rPr>
      </w:pPr>
      <w:r>
        <w:rPr>
          <w:sz w:val="24"/>
          <w:szCs w:val="24"/>
        </w:rPr>
        <w:t>Для участия в Отборе с использованием ЭТП Участник должен пройти процедуру регистрации (аккредитации) на ЭТП. Аккредитация осуществляется оператором ЭТП, и Заказчик не несет ответственности за результат ее прохождения Участником, в том числе понесенные им затраты.</w:t>
      </w:r>
    </w:p>
    <w:p>
      <w:pPr>
        <w:numPr>
          <w:ilvl w:val="2"/>
          <w:numId w:val="10"/>
        </w:numPr>
        <w:ind w:left="0" w:firstLine="0"/>
        <w:jc w:val="both"/>
        <w:rPr>
          <w:sz w:val="24"/>
          <w:szCs w:val="24"/>
        </w:rPr>
      </w:pPr>
      <w:r>
        <w:rPr>
          <w:sz w:val="24"/>
          <w:szCs w:val="24"/>
        </w:rPr>
        <w:t>Обмен между Участником, Заказчиком и оператором ЭТП всей информацией, связанной с проведением Отбора, осуществляется на ЭТП в форме электронных документов, подписанных усиленной квалифицированной электронной подписью уполномоченного лица.</w:t>
      </w:r>
    </w:p>
    <w:p>
      <w:pPr>
        <w:numPr>
          <w:ilvl w:val="1"/>
          <w:numId w:val="10"/>
        </w:numPr>
        <w:spacing w:before="120"/>
        <w:ind w:left="0" w:firstLine="0"/>
        <w:jc w:val="both"/>
        <w:rPr>
          <w:b/>
          <w:bCs/>
          <w:sz w:val="24"/>
          <w:szCs w:val="24"/>
        </w:rPr>
      </w:pPr>
      <w:bookmarkStart w:id="9" w:name="_Toc123123758"/>
      <w:r>
        <w:rPr>
          <w:b/>
          <w:bCs/>
          <w:sz w:val="24"/>
          <w:szCs w:val="24"/>
        </w:rPr>
        <w:t>Прочие положения</w:t>
      </w:r>
      <w:bookmarkEnd w:id="9"/>
      <w:r>
        <w:rPr>
          <w:b/>
          <w:bCs/>
          <w:sz w:val="24"/>
          <w:szCs w:val="24"/>
        </w:rPr>
        <w:t>:</w:t>
      </w:r>
    </w:p>
    <w:p>
      <w:pPr>
        <w:numPr>
          <w:ilvl w:val="2"/>
          <w:numId w:val="10"/>
        </w:numPr>
        <w:ind w:left="0" w:firstLine="0"/>
        <w:jc w:val="both"/>
        <w:rPr>
          <w:sz w:val="24"/>
          <w:szCs w:val="24"/>
        </w:rPr>
      </w:pPr>
      <w:r>
        <w:rPr>
          <w:sz w:val="24"/>
          <w:szCs w:val="24"/>
        </w:rPr>
        <w:t>Участник самостоятельно несет все расходы, связанные с подготовкой и подачей заявки, а Заказчик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Отбора, за исключением случаев, прямо предусмотренных настоящей Документацией об отборе.</w:t>
      </w:r>
    </w:p>
    <w:p>
      <w:pPr>
        <w:pStyle w:val="2"/>
        <w:numPr>
          <w:ilvl w:val="0"/>
          <w:numId w:val="10"/>
        </w:numPr>
        <w:jc w:val="center"/>
        <w:rPr>
          <w:rFonts w:ascii="Times New Roman" w:hAnsi="Times New Roman" w:cs="Times New Roman"/>
          <w:b/>
          <w:bCs/>
          <w:color w:val="auto"/>
          <w:sz w:val="24"/>
          <w:szCs w:val="24"/>
        </w:rPr>
      </w:pPr>
      <w:bookmarkStart w:id="10" w:name="_Ref514453315"/>
      <w:bookmarkStart w:id="11" w:name="_Toc17427"/>
      <w:bookmarkStart w:id="12" w:name="_Ref93088240"/>
      <w:bookmarkStart w:id="13" w:name="_Toc123123759"/>
      <w:bookmarkStart w:id="14" w:name="_Toc13139"/>
      <w:bookmarkStart w:id="15" w:name="_Toc20214"/>
      <w:bookmarkStart w:id="16" w:name="_Toc24711"/>
      <w:r>
        <w:rPr>
          <w:rFonts w:ascii="Times New Roman" w:hAnsi="Times New Roman" w:cs="Times New Roman"/>
          <w:b/>
          <w:bCs/>
          <w:color w:val="auto"/>
          <w:sz w:val="24"/>
          <w:szCs w:val="24"/>
        </w:rPr>
        <w:t xml:space="preserve">Требования к участникам </w:t>
      </w:r>
      <w:bookmarkEnd w:id="10"/>
      <w:bookmarkEnd w:id="11"/>
      <w:bookmarkEnd w:id="12"/>
      <w:bookmarkEnd w:id="13"/>
      <w:bookmarkEnd w:id="14"/>
      <w:bookmarkEnd w:id="15"/>
      <w:bookmarkEnd w:id="16"/>
      <w:r>
        <w:rPr>
          <w:rFonts w:ascii="Times New Roman" w:hAnsi="Times New Roman" w:cs="Times New Roman"/>
          <w:b/>
          <w:bCs/>
          <w:color w:val="auto"/>
          <w:sz w:val="24"/>
          <w:szCs w:val="24"/>
        </w:rPr>
        <w:t xml:space="preserve">Отбора. </w:t>
      </w:r>
      <w:r>
        <w:rPr>
          <w:rFonts w:ascii="Times New Roman" w:hAnsi="Times New Roman"/>
          <w:b/>
          <w:bCs/>
          <w:color w:val="auto"/>
          <w:sz w:val="24"/>
          <w:szCs w:val="24"/>
        </w:rPr>
        <w:t>Подтверждение соответствия предъявляемым требованиям</w:t>
      </w:r>
    </w:p>
    <w:p>
      <w:pPr>
        <w:numPr>
          <w:ilvl w:val="1"/>
          <w:numId w:val="10"/>
        </w:numPr>
        <w:spacing w:before="120"/>
        <w:ind w:left="0" w:firstLine="0"/>
        <w:jc w:val="both"/>
        <w:outlineLvl w:val="0"/>
        <w:rPr>
          <w:b/>
          <w:bCs/>
          <w:sz w:val="24"/>
          <w:szCs w:val="24"/>
        </w:rPr>
      </w:pPr>
      <w:bookmarkStart w:id="17" w:name="_Toc123123760"/>
      <w:bookmarkStart w:id="18" w:name="_Toc90385071"/>
      <w:bookmarkStart w:id="19" w:name="_Ref324341528"/>
      <w:bookmarkStart w:id="20" w:name="_Ref384627521"/>
      <w:bookmarkStart w:id="21" w:name="_Ref93090116"/>
      <w:bookmarkStart w:id="22" w:name="_Toc12190"/>
      <w:bookmarkStart w:id="23" w:name="_Toc3148"/>
      <w:bookmarkStart w:id="24" w:name="_Toc29214"/>
      <w:bookmarkStart w:id="25" w:name="_Toc26201"/>
      <w:r>
        <w:rPr>
          <w:b/>
          <w:bCs/>
          <w:sz w:val="24"/>
          <w:szCs w:val="24"/>
        </w:rPr>
        <w:t xml:space="preserve">Общие требования к Участникам </w:t>
      </w:r>
      <w:bookmarkEnd w:id="17"/>
      <w:bookmarkEnd w:id="18"/>
      <w:bookmarkEnd w:id="19"/>
      <w:bookmarkEnd w:id="20"/>
      <w:bookmarkEnd w:id="21"/>
      <w:r>
        <w:rPr>
          <w:b/>
          <w:bCs/>
          <w:sz w:val="24"/>
          <w:szCs w:val="24"/>
        </w:rPr>
        <w:t>Отбора.</w:t>
      </w:r>
      <w:bookmarkEnd w:id="22"/>
      <w:bookmarkEnd w:id="23"/>
      <w:bookmarkEnd w:id="24"/>
      <w:bookmarkEnd w:id="25"/>
    </w:p>
    <w:p>
      <w:pPr>
        <w:pStyle w:val="103"/>
        <w:numPr>
          <w:ilvl w:val="2"/>
          <w:numId w:val="10"/>
        </w:numPr>
        <w:spacing w:before="0" w:after="60"/>
        <w:ind w:left="0" w:firstLine="0"/>
        <w:rPr>
          <w:szCs w:val="24"/>
        </w:rPr>
      </w:pPr>
      <w:r>
        <w:rPr>
          <w:szCs w:val="24"/>
        </w:rPr>
        <w:t xml:space="preserve">Участвовать в Отборе может могут являться любое юридическое лицо или несколько юридических лиц, выступающих на стороне одного субъекта экономической деятельности, независимо от организационно-правовой формы, формы собственности, места нахождения и места происхождения капитала либо любое физическое лицо, из числа лиц, указанных в пункте </w:t>
      </w:r>
      <w:r>
        <w:rPr>
          <w:szCs w:val="24"/>
        </w:rPr>
        <w:fldChar w:fldCharType="begin"/>
      </w:r>
      <w:r>
        <w:rPr>
          <w:szCs w:val="24"/>
        </w:rPr>
        <w:instrText xml:space="preserve"> REF _Ref32612 \n \h </w:instrText>
      </w:r>
      <w:r>
        <w:rPr>
          <w:szCs w:val="24"/>
        </w:rPr>
        <w:fldChar w:fldCharType="separate"/>
      </w:r>
      <w:r>
        <w:rPr>
          <w:szCs w:val="24"/>
        </w:rPr>
        <w:t>4.2.4</w:t>
      </w:r>
      <w:r>
        <w:rPr>
          <w:szCs w:val="24"/>
        </w:rPr>
        <w:fldChar w:fldCharType="end"/>
      </w:r>
      <w:r>
        <w:rPr>
          <w:szCs w:val="24"/>
        </w:rPr>
        <w:t xml:space="preserve"> 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pPr>
        <w:numPr>
          <w:ilvl w:val="2"/>
          <w:numId w:val="10"/>
        </w:numPr>
        <w:spacing w:after="60"/>
        <w:ind w:left="0" w:firstLine="0"/>
        <w:jc w:val="both"/>
        <w:rPr>
          <w:sz w:val="24"/>
          <w:szCs w:val="24"/>
        </w:rPr>
      </w:pPr>
      <w:r>
        <w:rPr>
          <w:sz w:val="24"/>
          <w:szCs w:val="24"/>
        </w:rPr>
        <w:t xml:space="preserve">Однако, чтобы Участник был признан квалифицированным поставщиком Участник самостоятельно или Коллективный участник в целом должен отвечать требованиям, установленным в настоящей Документации об отборе. </w:t>
      </w:r>
    </w:p>
    <w:p>
      <w:pPr>
        <w:numPr>
          <w:ilvl w:val="2"/>
          <w:numId w:val="10"/>
        </w:numPr>
        <w:spacing w:after="60"/>
        <w:ind w:left="0" w:firstLine="0"/>
        <w:jc w:val="both"/>
        <w:rPr>
          <w:sz w:val="24"/>
          <w:szCs w:val="24"/>
        </w:rPr>
      </w:pPr>
      <w:bookmarkStart w:id="26" w:name="_Ref1088"/>
      <w:r>
        <w:rPr>
          <w:rFonts w:eastAsia="Calibri"/>
          <w:color w:val="000000" w:themeColor="text1"/>
          <w:sz w:val="24"/>
          <w:szCs w:val="24"/>
          <w:lang w:eastAsia="zh-CN"/>
          <w14:textFill>
            <w14:solidFill>
              <w14:schemeClr w14:val="tx1"/>
            </w14:solidFill>
          </w14:textFill>
        </w:rPr>
        <w:t>При проведении Отбора Заказчиком устанавливаются следующие обязательные требования к</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участникам:</w:t>
      </w:r>
      <w:bookmarkEnd w:id="26"/>
    </w:p>
    <w:p>
      <w:pPr>
        <w:numPr>
          <w:ilvl w:val="0"/>
          <w:numId w:val="11"/>
        </w:numPr>
        <w:tabs>
          <w:tab w:val="left" w:pos="960"/>
        </w:tabs>
        <w:ind w:left="0" w:firstLine="480" w:firstLineChars="200"/>
        <w:jc w:val="both"/>
        <w:rPr>
          <w:sz w:val="24"/>
          <w:szCs w:val="24"/>
        </w:rPr>
      </w:pPr>
      <w:r>
        <w:rPr>
          <w:sz w:val="24"/>
          <w:szCs w:val="24"/>
        </w:rPr>
        <w:t>быть правомочным заключать договор;</w:t>
      </w:r>
    </w:p>
    <w:p>
      <w:pPr>
        <w:numPr>
          <w:ilvl w:val="0"/>
          <w:numId w:val="11"/>
        </w:numPr>
        <w:tabs>
          <w:tab w:val="left" w:pos="960"/>
        </w:tabs>
        <w:ind w:left="0" w:firstLine="480" w:firstLineChars="200"/>
        <w:jc w:val="both"/>
        <w:rPr>
          <w:sz w:val="24"/>
          <w:szCs w:val="24"/>
        </w:rPr>
      </w:pPr>
      <w:r>
        <w:rPr>
          <w:sz w:val="24"/>
          <w:szCs w:val="24"/>
        </w:rPr>
        <w:t>обладать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numPr>
          <w:ilvl w:val="0"/>
          <w:numId w:val="11"/>
        </w:numPr>
        <w:tabs>
          <w:tab w:val="left" w:pos="960"/>
        </w:tabs>
        <w:ind w:left="0" w:firstLine="480" w:firstLineChars="200"/>
        <w:jc w:val="both"/>
        <w:rPr>
          <w:sz w:val="24"/>
          <w:szCs w:val="24"/>
        </w:rPr>
      </w:pPr>
      <w:r>
        <w:rPr>
          <w:sz w:val="24"/>
          <w:szCs w:val="24"/>
        </w:rPr>
        <w:t xml:space="preserve">обладать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 </w:t>
      </w:r>
    </w:p>
    <w:p>
      <w:pPr>
        <w:numPr>
          <w:ilvl w:val="0"/>
          <w:numId w:val="11"/>
        </w:numPr>
        <w:tabs>
          <w:tab w:val="left" w:pos="960"/>
        </w:tabs>
        <w:ind w:left="0" w:firstLine="480" w:firstLineChars="200"/>
        <w:jc w:val="both"/>
        <w:rPr>
          <w:sz w:val="24"/>
          <w:szCs w:val="24"/>
        </w:rPr>
      </w:pPr>
      <w:r>
        <w:rPr>
          <w:sz w:val="24"/>
          <w:szCs w:val="24"/>
        </w:rPr>
        <w:t>не находиться в процессе ликвидации (для юридического лица), реорганизации и/или не быть признанным по решению арбитражного суда несостоятельным (банкротом);</w:t>
      </w:r>
    </w:p>
    <w:p>
      <w:pPr>
        <w:numPr>
          <w:ilvl w:val="0"/>
          <w:numId w:val="11"/>
        </w:numPr>
        <w:tabs>
          <w:tab w:val="left" w:pos="960"/>
        </w:tabs>
        <w:ind w:left="0" w:firstLine="480" w:firstLineChars="200"/>
        <w:jc w:val="both"/>
        <w:rPr>
          <w:sz w:val="24"/>
          <w:szCs w:val="24"/>
        </w:rPr>
      </w:pPr>
      <w:r>
        <w:rPr>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pPr>
        <w:numPr>
          <w:ilvl w:val="0"/>
          <w:numId w:val="11"/>
        </w:numPr>
        <w:tabs>
          <w:tab w:val="left" w:pos="960"/>
        </w:tabs>
        <w:ind w:left="0" w:firstLine="480" w:firstLineChars="200"/>
        <w:jc w:val="both"/>
        <w:rPr>
          <w:sz w:val="24"/>
          <w:szCs w:val="24"/>
        </w:rPr>
      </w:pPr>
      <w:r>
        <w:rPr>
          <w:sz w:val="24"/>
          <w:szCs w:val="24"/>
        </w:rPr>
        <w:t>не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данному заявлению на дату рассмотрения заявки на участие в отборе не принято;</w:t>
      </w:r>
    </w:p>
    <w:p>
      <w:pPr>
        <w:numPr>
          <w:ilvl w:val="0"/>
          <w:numId w:val="11"/>
        </w:numPr>
        <w:tabs>
          <w:tab w:val="left" w:pos="960"/>
        </w:tabs>
        <w:ind w:left="0" w:firstLine="480" w:firstLineChars="200"/>
        <w:jc w:val="both"/>
        <w:rPr>
          <w:sz w:val="24"/>
          <w:szCs w:val="24"/>
        </w:rPr>
      </w:pPr>
      <w:r>
        <w:rPr>
          <w:sz w:val="24"/>
          <w:szCs w:val="24"/>
        </w:rPr>
        <w:t>деятельность участника процедуры Отбора не должна быть приостановлена в порядке, установленном Кодексом Российской Федерации об административных правонарушениях;</w:t>
      </w:r>
    </w:p>
    <w:p>
      <w:pPr>
        <w:numPr>
          <w:ilvl w:val="0"/>
          <w:numId w:val="11"/>
        </w:numPr>
        <w:tabs>
          <w:tab w:val="left" w:pos="960"/>
        </w:tabs>
        <w:ind w:left="0" w:firstLine="480" w:firstLineChars="200"/>
        <w:jc w:val="both"/>
        <w:rPr>
          <w:sz w:val="24"/>
          <w:szCs w:val="24"/>
        </w:rPr>
      </w:pPr>
      <w:r>
        <w:rPr>
          <w:sz w:val="24"/>
          <w:szCs w:val="24"/>
        </w:rPr>
        <w:t xml:space="preserve">обладать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документации о закупке; </w:t>
      </w:r>
    </w:p>
    <w:p>
      <w:pPr>
        <w:numPr>
          <w:ilvl w:val="0"/>
          <w:numId w:val="11"/>
        </w:numPr>
        <w:tabs>
          <w:tab w:val="left" w:pos="960"/>
        </w:tabs>
        <w:ind w:left="0" w:firstLine="480" w:firstLineChars="200"/>
        <w:jc w:val="both"/>
        <w:rPr>
          <w:sz w:val="24"/>
          <w:szCs w:val="24"/>
        </w:rPr>
      </w:pPr>
      <w:r>
        <w:rPr>
          <w:sz w:val="24"/>
          <w:szCs w:val="24"/>
        </w:rPr>
        <w:t xml:space="preserve">сведения об участнике Отбора должны отсутствовать: </w:t>
      </w:r>
    </w:p>
    <w:p>
      <w:pPr>
        <w:numPr>
          <w:ilvl w:val="255"/>
          <w:numId w:val="0"/>
        </w:numPr>
        <w:tabs>
          <w:tab w:val="left" w:pos="960"/>
        </w:tabs>
        <w:ind w:firstLine="480" w:firstLineChars="200"/>
        <w:jc w:val="both"/>
        <w:rPr>
          <w:sz w:val="24"/>
          <w:szCs w:val="24"/>
        </w:rPr>
      </w:pPr>
      <w:r>
        <w:rPr>
          <w:sz w:val="24"/>
          <w:szCs w:val="24"/>
        </w:rPr>
        <w:t>а) в предусмотренном Федеральным законом от 05.04.2013 № 44-ФЗ реестре недобросовестных поставщиков;</w:t>
      </w:r>
    </w:p>
    <w:p>
      <w:pPr>
        <w:numPr>
          <w:ilvl w:val="255"/>
          <w:numId w:val="0"/>
        </w:numPr>
        <w:tabs>
          <w:tab w:val="left" w:pos="960"/>
        </w:tabs>
        <w:ind w:firstLine="480" w:firstLineChars="200"/>
        <w:jc w:val="both"/>
        <w:rPr>
          <w:sz w:val="24"/>
          <w:szCs w:val="24"/>
        </w:rPr>
      </w:pPr>
      <w:r>
        <w:rPr>
          <w:sz w:val="24"/>
          <w:szCs w:val="24"/>
        </w:rPr>
        <w:t>б) в предусмотренном Федеральным законом от 18.07.2011 № 223-ФЗ реестре недобросовестных поставщиков;</w:t>
      </w:r>
    </w:p>
    <w:p>
      <w:pPr>
        <w:numPr>
          <w:ilvl w:val="255"/>
          <w:numId w:val="0"/>
        </w:numPr>
        <w:tabs>
          <w:tab w:val="left" w:pos="960"/>
        </w:tabs>
        <w:ind w:firstLine="480" w:firstLineChars="200"/>
        <w:jc w:val="both"/>
        <w:rPr>
          <w:sz w:val="24"/>
          <w:szCs w:val="24"/>
        </w:rPr>
      </w:pPr>
      <w:r>
        <w:rPr>
          <w:sz w:val="24"/>
          <w:szCs w:val="24"/>
        </w:rPr>
        <w:t>в) в перечне юридических и физических лиц, в отношении которых временно введено ограничение на участие в операциях по закупкам Фонда, размещённый на сайте Заказчика;</w:t>
      </w:r>
    </w:p>
    <w:p>
      <w:pPr>
        <w:numPr>
          <w:ilvl w:val="0"/>
          <w:numId w:val="11"/>
        </w:numPr>
        <w:tabs>
          <w:tab w:val="left" w:pos="960"/>
        </w:tabs>
        <w:ind w:left="0" w:firstLine="480" w:firstLineChars="200"/>
        <w:jc w:val="both"/>
        <w:rPr>
          <w:sz w:val="24"/>
          <w:szCs w:val="24"/>
        </w:rPr>
      </w:pPr>
      <w:r>
        <w:rPr>
          <w:sz w:val="24"/>
          <w:szCs w:val="24"/>
        </w:rPr>
        <w:t xml:space="preserve">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должна отсутствовать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Отбора, и административного наказания в виде дисквалификации; </w:t>
      </w:r>
    </w:p>
    <w:p>
      <w:pPr>
        <w:numPr>
          <w:ilvl w:val="0"/>
          <w:numId w:val="11"/>
        </w:numPr>
        <w:tabs>
          <w:tab w:val="left" w:pos="960"/>
        </w:tabs>
        <w:ind w:left="0" w:firstLine="480" w:firstLineChars="200"/>
        <w:jc w:val="both"/>
        <w:rPr>
          <w:sz w:val="24"/>
          <w:szCs w:val="24"/>
        </w:rPr>
      </w:pPr>
      <w:r>
        <w:rPr>
          <w:sz w:val="24"/>
          <w:szCs w:val="24"/>
        </w:rPr>
        <w:t>у участника - юридического лица должны отсутствовать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numPr>
          <w:ilvl w:val="0"/>
          <w:numId w:val="11"/>
        </w:numPr>
        <w:tabs>
          <w:tab w:val="left" w:pos="960"/>
        </w:tabs>
        <w:ind w:left="0" w:firstLine="480" w:firstLineChars="200"/>
        <w:jc w:val="both"/>
        <w:rPr>
          <w:sz w:val="24"/>
          <w:szCs w:val="24"/>
        </w:rPr>
      </w:pPr>
      <w:r>
        <w:rPr>
          <w:sz w:val="24"/>
          <w:szCs w:val="24"/>
        </w:rPr>
        <w:t>между участником Отбора и Заказчиком должен отсутствовать конфликт интересов;</w:t>
      </w:r>
    </w:p>
    <w:p>
      <w:pPr>
        <w:numPr>
          <w:ilvl w:val="0"/>
          <w:numId w:val="11"/>
        </w:numPr>
        <w:tabs>
          <w:tab w:val="left" w:pos="960"/>
        </w:tabs>
        <w:ind w:left="0" w:firstLine="480" w:firstLineChars="200"/>
        <w:jc w:val="both"/>
        <w:rPr>
          <w:sz w:val="24"/>
          <w:szCs w:val="24"/>
        </w:rPr>
      </w:pPr>
      <w:r>
        <w:rPr>
          <w:sz w:val="24"/>
          <w:szCs w:val="24"/>
        </w:rPr>
        <w:t>не являться оффшорной компанией</w:t>
      </w:r>
    </w:p>
    <w:p>
      <w:pPr>
        <w:numPr>
          <w:ilvl w:val="0"/>
          <w:numId w:val="11"/>
        </w:numPr>
        <w:tabs>
          <w:tab w:val="left" w:pos="960"/>
        </w:tabs>
        <w:ind w:left="0" w:firstLine="480" w:firstLineChars="200"/>
        <w:jc w:val="both"/>
        <w:rPr>
          <w:sz w:val="24"/>
          <w:szCs w:val="24"/>
        </w:rPr>
      </w:pPr>
      <w:r>
        <w:rPr>
          <w:sz w:val="24"/>
          <w:szCs w:val="24"/>
        </w:rPr>
        <w:t>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 или в случае приобретения Заказчиком права использования результата интеллектуальной деятельности у лица, способного правомерно предоставить право использования такого результата.</w:t>
      </w:r>
    </w:p>
    <w:p>
      <w:pPr>
        <w:numPr>
          <w:ilvl w:val="2"/>
          <w:numId w:val="10"/>
        </w:numPr>
        <w:spacing w:after="60"/>
        <w:ind w:left="0" w:firstLine="0"/>
        <w:jc w:val="both"/>
        <w:rPr>
          <w:sz w:val="24"/>
          <w:szCs w:val="24"/>
        </w:rPr>
      </w:pPr>
      <w:bookmarkStart w:id="27" w:name="_Ref410727010"/>
      <w:r>
        <w:rPr>
          <w:sz w:val="24"/>
          <w:szCs w:val="24"/>
        </w:rPr>
        <w:t xml:space="preserve">Помимо обязательных требований к Участникам, в пункте </w:t>
      </w:r>
      <w:r>
        <w:rPr>
          <w:sz w:val="24"/>
          <w:szCs w:val="24"/>
        </w:rPr>
        <w:fldChar w:fldCharType="begin"/>
      </w:r>
      <w:r>
        <w:rPr>
          <w:sz w:val="24"/>
          <w:szCs w:val="24"/>
        </w:rPr>
        <w:instrText xml:space="preserve"> REF _Ref25245 \n \h </w:instrText>
      </w:r>
      <w:r>
        <w:rPr>
          <w:sz w:val="24"/>
          <w:szCs w:val="24"/>
        </w:rPr>
        <w:fldChar w:fldCharType="separate"/>
      </w:r>
      <w:r>
        <w:rPr>
          <w:sz w:val="24"/>
          <w:szCs w:val="24"/>
        </w:rPr>
        <w:t>5.1</w:t>
      </w:r>
      <w:r>
        <w:rPr>
          <w:sz w:val="24"/>
          <w:szCs w:val="24"/>
        </w:rPr>
        <w:fldChar w:fldCharType="end"/>
      </w:r>
      <w:r>
        <w:rPr>
          <w:sz w:val="24"/>
          <w:szCs w:val="24"/>
        </w:rPr>
        <w:t xml:space="preserve"> Документации об отборе могут быть установлены специальные требования</w:t>
      </w:r>
      <w:bookmarkEnd w:id="27"/>
      <w:r>
        <w:rPr>
          <w:sz w:val="24"/>
          <w:szCs w:val="24"/>
        </w:rPr>
        <w:t>, исходя из предмета Отбора, которым также должны соответствовать Участники.</w:t>
      </w:r>
    </w:p>
    <w:p>
      <w:pPr>
        <w:numPr>
          <w:ilvl w:val="2"/>
          <w:numId w:val="10"/>
        </w:numPr>
        <w:spacing w:after="60"/>
        <w:ind w:left="0" w:firstLine="0"/>
        <w:jc w:val="both"/>
        <w:rPr>
          <w:sz w:val="24"/>
          <w:szCs w:val="24"/>
        </w:rPr>
      </w:pPr>
      <w:r>
        <w:rPr>
          <w:sz w:val="24"/>
          <w:szCs w:val="24"/>
        </w:rPr>
        <w:t xml:space="preserve">Помимо обязательных и специальных требований к Участникам, в пункте </w:t>
      </w:r>
      <w:r>
        <w:rPr>
          <w:sz w:val="24"/>
          <w:szCs w:val="24"/>
        </w:rPr>
        <w:fldChar w:fldCharType="begin"/>
      </w:r>
      <w:r>
        <w:rPr>
          <w:sz w:val="24"/>
          <w:szCs w:val="24"/>
        </w:rPr>
        <w:instrText xml:space="preserve"> REF _Ref25343 \n \h </w:instrText>
      </w:r>
      <w:r>
        <w:rPr>
          <w:sz w:val="24"/>
          <w:szCs w:val="24"/>
        </w:rPr>
        <w:fldChar w:fldCharType="separate"/>
      </w:r>
      <w:r>
        <w:rPr>
          <w:sz w:val="24"/>
          <w:szCs w:val="24"/>
        </w:rPr>
        <w:t>5.2</w:t>
      </w:r>
      <w:r>
        <w:rPr>
          <w:sz w:val="24"/>
          <w:szCs w:val="24"/>
        </w:rPr>
        <w:fldChar w:fldCharType="end"/>
      </w:r>
      <w:r>
        <w:rPr>
          <w:sz w:val="24"/>
          <w:szCs w:val="24"/>
        </w:rPr>
        <w:t xml:space="preserve"> Документации об отборе могут быть установлены квалификационные требования, которым должны соответствовать Участники.</w:t>
      </w:r>
    </w:p>
    <w:p>
      <w:pPr>
        <w:numPr>
          <w:ilvl w:val="1"/>
          <w:numId w:val="10"/>
        </w:numPr>
        <w:spacing w:before="120" w:after="60"/>
        <w:ind w:left="0" w:firstLine="0"/>
        <w:jc w:val="both"/>
        <w:rPr>
          <w:b/>
          <w:bCs/>
          <w:sz w:val="24"/>
          <w:szCs w:val="24"/>
        </w:rPr>
      </w:pPr>
      <w:r>
        <w:rPr>
          <w:b/>
          <w:bCs/>
          <w:sz w:val="24"/>
          <w:szCs w:val="24"/>
        </w:rPr>
        <w:t>Требования к документам, подтверждающим соответствие Участника установленным требованиям</w:t>
      </w:r>
    </w:p>
    <w:p>
      <w:pPr>
        <w:numPr>
          <w:ilvl w:val="2"/>
          <w:numId w:val="10"/>
        </w:numPr>
        <w:ind w:left="0" w:firstLine="0"/>
        <w:jc w:val="both"/>
        <w:rPr>
          <w:sz w:val="24"/>
          <w:szCs w:val="24"/>
        </w:rPr>
      </w:pPr>
      <w:bookmarkStart w:id="28" w:name="_Ref8269"/>
      <w:r>
        <w:rPr>
          <w:sz w:val="24"/>
          <w:szCs w:val="24"/>
        </w:rPr>
        <w:t>Участник Отбора должен включить в состав заявки следующие документы, подтверждающие его соответствие требованиям Документации об отборе:</w:t>
      </w:r>
      <w:bookmarkEnd w:id="28"/>
    </w:p>
    <w:p>
      <w:pPr>
        <w:tabs>
          <w:tab w:val="left" w:pos="260"/>
          <w:tab w:val="left" w:pos="1134"/>
        </w:tabs>
        <w:ind w:firstLine="480" w:firstLineChars="200"/>
        <w:jc w:val="both"/>
        <w:rPr>
          <w:sz w:val="24"/>
          <w:szCs w:val="24"/>
        </w:rPr>
      </w:pPr>
      <w:r>
        <w:rPr>
          <w:sz w:val="24"/>
          <w:szCs w:val="24"/>
        </w:rPr>
        <w:t>а) 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индивидуальных предпринимателей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pPr>
        <w:tabs>
          <w:tab w:val="left" w:pos="260"/>
          <w:tab w:val="left" w:pos="1134"/>
        </w:tabs>
        <w:ind w:firstLine="480" w:firstLineChars="200"/>
        <w:jc w:val="both"/>
        <w:rPr>
          <w:sz w:val="24"/>
          <w:szCs w:val="24"/>
        </w:rPr>
      </w:pPr>
      <w:r>
        <w:rPr>
          <w:sz w:val="24"/>
          <w:szCs w:val="24"/>
        </w:rPr>
        <w:t xml:space="preserve">б) копия Устава в действующей редакции; </w:t>
      </w:r>
    </w:p>
    <w:p>
      <w:pPr>
        <w:tabs>
          <w:tab w:val="left" w:pos="260"/>
          <w:tab w:val="left" w:pos="1134"/>
        </w:tabs>
        <w:ind w:firstLine="480" w:firstLineChars="200"/>
        <w:jc w:val="both"/>
        <w:rPr>
          <w:sz w:val="24"/>
          <w:szCs w:val="24"/>
        </w:rPr>
      </w:pPr>
      <w:r>
        <w:rPr>
          <w:sz w:val="24"/>
          <w:szCs w:val="24"/>
        </w:rPr>
        <w:t>в)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pPr>
        <w:tabs>
          <w:tab w:val="left" w:pos="260"/>
          <w:tab w:val="left" w:pos="1134"/>
        </w:tabs>
        <w:ind w:firstLine="480" w:firstLineChars="200"/>
        <w:jc w:val="both"/>
        <w:rPr>
          <w:sz w:val="24"/>
          <w:szCs w:val="24"/>
        </w:rPr>
      </w:pPr>
      <w:r>
        <w:rPr>
          <w:sz w:val="24"/>
          <w:szCs w:val="24"/>
        </w:rPr>
        <w:t>г) если заявка подписывается лицом, действующим на основании доверенности</w:t>
      </w:r>
      <w:r>
        <w:rPr>
          <w:rStyle w:val="14"/>
          <w:sz w:val="24"/>
          <w:szCs w:val="24"/>
        </w:rPr>
        <w:footnoteReference w:id="0"/>
      </w:r>
      <w:r>
        <w:rPr>
          <w:sz w:val="24"/>
          <w:szCs w:val="24"/>
        </w:rPr>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в) пункта 2.2.1, на лицо, выдавшее доверенность</w:t>
      </w:r>
    </w:p>
    <w:p>
      <w:pPr>
        <w:pBdr>
          <w:top w:val="none" w:color="000000" w:sz="0" w:space="0"/>
          <w:left w:val="none" w:color="000000" w:sz="0" w:space="0"/>
          <w:bottom w:val="none" w:color="000000" w:sz="0" w:space="0"/>
          <w:right w:val="none" w:color="000000" w:sz="0" w:space="0"/>
        </w:pBdr>
        <w:suppressAutoHyphens/>
        <w:ind w:firstLine="480" w:firstLineChars="200"/>
        <w:jc w:val="both"/>
        <w:rPr>
          <w:rFonts w:eastAsia="Arial Unicode MS"/>
          <w:bCs/>
          <w:color w:val="000000" w:themeColor="text1"/>
          <w:sz w:val="24"/>
          <w:szCs w:val="24"/>
          <w:lang w:eastAsia="zh-CN"/>
          <w14:textFill>
            <w14:solidFill>
              <w14:schemeClr w14:val="tx1"/>
            </w14:solidFill>
          </w14:textFill>
        </w:rPr>
      </w:pPr>
      <w:r>
        <w:rPr>
          <w:rFonts w:eastAsia="Arial Unicode MS"/>
          <w:bCs/>
          <w:color w:val="000000" w:themeColor="text1"/>
          <w:sz w:val="24"/>
          <w:szCs w:val="24"/>
          <w:lang w:eastAsia="zh-CN"/>
          <w14:textFill>
            <w14:solidFill>
              <w14:schemeClr w14:val="tx1"/>
            </w14:solidFill>
          </w14:textFill>
        </w:rPr>
        <w:t>д) уведомление участника предварительного квалификационного отбора о возможности применении упрощенной системы налогообложения или специальных налоговых режимов, в случае их использования (заверенное печатью участника);</w:t>
      </w:r>
    </w:p>
    <w:p>
      <w:pPr>
        <w:ind w:firstLine="480" w:firstLineChars="200"/>
        <w:jc w:val="both"/>
        <w:rPr>
          <w:rFonts w:eastAsia="Calibri"/>
          <w:bCs/>
          <w:sz w:val="24"/>
          <w:szCs w:val="24"/>
        </w:rPr>
      </w:pPr>
      <w:r>
        <w:rPr>
          <w:rFonts w:eastAsia="Calibri"/>
          <w:bCs/>
          <w:sz w:val="24"/>
          <w:szCs w:val="24"/>
        </w:rPr>
        <w:t>е)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 форме в соответствии с приказом ФНС от 20.01.2017 №ММВ-7-8/20, полученную не ранее чем за один месяц до даты подачи заявки на участие в предварительном квалификационном отборе.</w:t>
      </w:r>
    </w:p>
    <w:p>
      <w:pPr>
        <w:pBdr>
          <w:top w:val="none" w:color="000000" w:sz="0" w:space="0"/>
          <w:left w:val="none" w:color="000000" w:sz="0" w:space="0"/>
          <w:bottom w:val="none" w:color="000000" w:sz="0" w:space="0"/>
          <w:right w:val="none" w:color="000000" w:sz="0" w:space="0"/>
        </w:pBdr>
        <w:suppressAutoHyphens/>
        <w:ind w:firstLine="480" w:firstLineChars="200"/>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xml:space="preserve">ж) документы, указанные в пунктах </w:t>
      </w:r>
      <w:r>
        <w:rPr>
          <w:rFonts w:eastAsia="Arial Unicode MS"/>
          <w:color w:val="000000" w:themeColor="text1"/>
          <w:sz w:val="24"/>
          <w:szCs w:val="24"/>
          <w:lang w:eastAsia="zh-CN"/>
          <w14:textFill>
            <w14:solidFill>
              <w14:schemeClr w14:val="tx1"/>
            </w14:solidFill>
          </w14:textFill>
        </w:rPr>
        <w:fldChar w:fldCharType="begin"/>
      </w:r>
      <w:r>
        <w:rPr>
          <w:rFonts w:eastAsia="Arial Unicode MS"/>
          <w:color w:val="000000" w:themeColor="text1"/>
          <w:sz w:val="24"/>
          <w:szCs w:val="24"/>
          <w:lang w:eastAsia="zh-CN"/>
          <w14:textFill>
            <w14:solidFill>
              <w14:schemeClr w14:val="tx1"/>
            </w14:solidFill>
          </w14:textFill>
        </w:rPr>
        <w:instrText xml:space="preserve"> REF _Ref25245 \n \h </w:instrText>
      </w:r>
      <w:r>
        <w:rPr>
          <w:rFonts w:eastAsia="Arial Unicode MS"/>
          <w:color w:val="000000" w:themeColor="text1"/>
          <w:sz w:val="24"/>
          <w:szCs w:val="24"/>
          <w:lang w:eastAsia="zh-CN"/>
          <w14:textFill>
            <w14:solidFill>
              <w14:schemeClr w14:val="tx1"/>
            </w14:solidFill>
          </w14:textFill>
        </w:rPr>
        <w:fldChar w:fldCharType="separate"/>
      </w:r>
      <w:r>
        <w:rPr>
          <w:rFonts w:eastAsia="Arial Unicode MS"/>
          <w:color w:val="000000" w:themeColor="text1"/>
          <w:sz w:val="24"/>
          <w:szCs w:val="24"/>
          <w:lang w:eastAsia="zh-CN"/>
          <w14:textFill>
            <w14:solidFill>
              <w14:schemeClr w14:val="tx1"/>
            </w14:solidFill>
          </w14:textFill>
        </w:rPr>
        <w:t>5.1</w:t>
      </w:r>
      <w:r>
        <w:rPr>
          <w:rFonts w:eastAsia="Arial Unicode MS"/>
          <w:color w:val="000000" w:themeColor="text1"/>
          <w:sz w:val="24"/>
          <w:szCs w:val="24"/>
          <w:lang w:eastAsia="zh-CN"/>
          <w14:textFill>
            <w14:solidFill>
              <w14:schemeClr w14:val="tx1"/>
            </w14:solidFill>
          </w14:textFill>
        </w:rPr>
        <w:fldChar w:fldCharType="end"/>
      </w:r>
      <w:r>
        <w:rPr>
          <w:rFonts w:eastAsia="Arial Unicode MS"/>
          <w:color w:val="000000" w:themeColor="text1"/>
          <w:sz w:val="24"/>
          <w:szCs w:val="24"/>
          <w:lang w:eastAsia="zh-CN"/>
          <w14:textFill>
            <w14:solidFill>
              <w14:schemeClr w14:val="tx1"/>
            </w14:solidFill>
          </w14:textFill>
        </w:rPr>
        <w:t xml:space="preserve"> - </w:t>
      </w:r>
      <w:r>
        <w:rPr>
          <w:rFonts w:eastAsia="Arial Unicode MS"/>
          <w:color w:val="000000" w:themeColor="text1"/>
          <w:sz w:val="24"/>
          <w:szCs w:val="24"/>
          <w:lang w:eastAsia="zh-CN"/>
          <w14:textFill>
            <w14:solidFill>
              <w14:schemeClr w14:val="tx1"/>
            </w14:solidFill>
          </w14:textFill>
        </w:rPr>
        <w:fldChar w:fldCharType="begin"/>
      </w:r>
      <w:r>
        <w:rPr>
          <w:rFonts w:eastAsia="Arial Unicode MS"/>
          <w:color w:val="000000" w:themeColor="text1"/>
          <w:sz w:val="24"/>
          <w:szCs w:val="24"/>
          <w:lang w:eastAsia="zh-CN"/>
          <w14:textFill>
            <w14:solidFill>
              <w14:schemeClr w14:val="tx1"/>
            </w14:solidFill>
          </w14:textFill>
        </w:rPr>
        <w:instrText xml:space="preserve"> REF _Ref25343 \n \h </w:instrText>
      </w:r>
      <w:r>
        <w:rPr>
          <w:rFonts w:eastAsia="Arial Unicode MS"/>
          <w:color w:val="000000" w:themeColor="text1"/>
          <w:sz w:val="24"/>
          <w:szCs w:val="24"/>
          <w:lang w:eastAsia="zh-CN"/>
          <w14:textFill>
            <w14:solidFill>
              <w14:schemeClr w14:val="tx1"/>
            </w14:solidFill>
          </w14:textFill>
        </w:rPr>
        <w:fldChar w:fldCharType="separate"/>
      </w:r>
      <w:r>
        <w:rPr>
          <w:rFonts w:eastAsia="Arial Unicode MS"/>
          <w:color w:val="000000" w:themeColor="text1"/>
          <w:sz w:val="24"/>
          <w:szCs w:val="24"/>
          <w:lang w:eastAsia="zh-CN"/>
          <w14:textFill>
            <w14:solidFill>
              <w14:schemeClr w14:val="tx1"/>
            </w14:solidFill>
          </w14:textFill>
        </w:rPr>
        <w:t>5.2</w:t>
      </w:r>
      <w:r>
        <w:rPr>
          <w:rFonts w:eastAsia="Arial Unicode MS"/>
          <w:color w:val="000000" w:themeColor="text1"/>
          <w:sz w:val="24"/>
          <w:szCs w:val="24"/>
          <w:lang w:eastAsia="zh-CN"/>
          <w14:textFill>
            <w14:solidFill>
              <w14:schemeClr w14:val="tx1"/>
            </w14:solidFill>
          </w14:textFill>
        </w:rPr>
        <w:fldChar w:fldCharType="end"/>
      </w:r>
      <w:r>
        <w:rPr>
          <w:rFonts w:eastAsia="Arial Unicode MS"/>
          <w:color w:val="000000" w:themeColor="text1"/>
          <w:sz w:val="24"/>
          <w:szCs w:val="24"/>
          <w:lang w:eastAsia="zh-CN"/>
          <w14:textFill>
            <w14:solidFill>
              <w14:schemeClr w14:val="tx1"/>
            </w14:solidFill>
          </w14:textFill>
        </w:rPr>
        <w:t xml:space="preserve"> Документации о закупке.</w:t>
      </w:r>
    </w:p>
    <w:p>
      <w:pPr>
        <w:pBdr>
          <w:top w:val="none" w:color="000000" w:sz="0" w:space="0"/>
          <w:left w:val="none" w:color="000000" w:sz="0" w:space="0"/>
          <w:bottom w:val="none" w:color="000000" w:sz="0" w:space="0"/>
          <w:right w:val="none" w:color="000000" w:sz="0" w:space="0"/>
        </w:pBdr>
        <w:suppressAutoHyphens/>
        <w:ind w:firstLine="480" w:firstLineChars="200"/>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з) иные документы, предоставленные по собственной инициативе участника,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pPr>
        <w:numPr>
          <w:ilvl w:val="1"/>
          <w:numId w:val="10"/>
        </w:numPr>
        <w:spacing w:before="120"/>
        <w:ind w:left="0" w:firstLine="0"/>
        <w:outlineLvl w:val="0"/>
        <w:rPr>
          <w:b/>
          <w:bCs/>
          <w:sz w:val="24"/>
          <w:szCs w:val="24"/>
        </w:rPr>
      </w:pPr>
      <w:bookmarkStart w:id="29" w:name="_Ref324336874"/>
      <w:bookmarkStart w:id="30" w:name="_Toc123123761"/>
      <w:bookmarkStart w:id="31" w:name="_Toc24616"/>
      <w:bookmarkStart w:id="32" w:name="_Toc11896"/>
      <w:bookmarkStart w:id="33" w:name="_Toc13057"/>
      <w:bookmarkStart w:id="34" w:name="_Toc3550"/>
      <w:r>
        <w:rPr>
          <w:b/>
          <w:bCs/>
          <w:sz w:val="24"/>
          <w:szCs w:val="24"/>
        </w:rPr>
        <w:t>Коллективные участник</w:t>
      </w:r>
      <w:bookmarkEnd w:id="29"/>
      <w:r>
        <w:rPr>
          <w:b/>
          <w:bCs/>
          <w:sz w:val="24"/>
          <w:szCs w:val="24"/>
        </w:rPr>
        <w:t>и</w:t>
      </w:r>
      <w:bookmarkEnd w:id="30"/>
      <w:r>
        <w:rPr>
          <w:b/>
          <w:bCs/>
          <w:sz w:val="24"/>
          <w:szCs w:val="24"/>
        </w:rPr>
        <w:t>.</w:t>
      </w:r>
      <w:bookmarkEnd w:id="31"/>
      <w:bookmarkEnd w:id="32"/>
      <w:bookmarkEnd w:id="33"/>
      <w:bookmarkEnd w:id="34"/>
    </w:p>
    <w:p>
      <w:pPr>
        <w:numPr>
          <w:ilvl w:val="2"/>
          <w:numId w:val="10"/>
        </w:numPr>
        <w:ind w:left="0" w:firstLine="0"/>
        <w:jc w:val="both"/>
        <w:rPr>
          <w:sz w:val="24"/>
          <w:szCs w:val="24"/>
        </w:rPr>
      </w:pPr>
      <w:bookmarkStart w:id="35" w:name="_Ref457404602"/>
      <w:r>
        <w:rPr>
          <w:sz w:val="24"/>
          <w:szCs w:val="24"/>
        </w:rPr>
        <w:t>В Отборе могут участвовать юридические и физические лица, в том числе индивидуальные предприниматели, как самостоятельно, так и их объединения, способные на законных основаниях выполнить требуемую поставку продукции (далее – Коллективный участник).</w:t>
      </w:r>
      <w:bookmarkEnd w:id="35"/>
    </w:p>
    <w:p>
      <w:pPr>
        <w:numPr>
          <w:ilvl w:val="2"/>
          <w:numId w:val="10"/>
        </w:numPr>
        <w:ind w:left="0" w:firstLine="0"/>
        <w:jc w:val="both"/>
        <w:rPr>
          <w:sz w:val="24"/>
          <w:szCs w:val="24"/>
        </w:rPr>
      </w:pPr>
      <w:r>
        <w:rPr>
          <w:sz w:val="24"/>
          <w:szCs w:val="24"/>
        </w:rPr>
        <w:t xml:space="preserve">Если заявка подается Коллективным Участником,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rPr>
          <w:sz w:val="24"/>
          <w:szCs w:val="24"/>
        </w:rPr>
        <w:fldChar w:fldCharType="begin"/>
      </w:r>
      <w:r>
        <w:rPr>
          <w:sz w:val="24"/>
          <w:szCs w:val="24"/>
        </w:rPr>
        <w:instrText xml:space="preserve"> REF _Ref941 \n \h </w:instrText>
      </w:r>
      <w:r>
        <w:rPr>
          <w:sz w:val="24"/>
          <w:szCs w:val="24"/>
        </w:rPr>
        <w:fldChar w:fldCharType="separate"/>
      </w:r>
      <w:r>
        <w:rPr>
          <w:sz w:val="24"/>
          <w:szCs w:val="24"/>
        </w:rPr>
        <w:t>2.3.3</w:t>
      </w:r>
      <w:r>
        <w:rPr>
          <w:sz w:val="24"/>
          <w:szCs w:val="24"/>
        </w:rPr>
        <w:fldChar w:fldCharType="end"/>
      </w:r>
      <w:r>
        <w:rPr>
          <w:sz w:val="24"/>
          <w:szCs w:val="24"/>
        </w:rPr>
        <w:t>.</w:t>
      </w:r>
    </w:p>
    <w:p>
      <w:pPr>
        <w:numPr>
          <w:ilvl w:val="2"/>
          <w:numId w:val="10"/>
        </w:numPr>
        <w:ind w:left="0" w:firstLine="0"/>
        <w:jc w:val="both"/>
        <w:rPr>
          <w:sz w:val="24"/>
          <w:szCs w:val="24"/>
        </w:rPr>
      </w:pPr>
      <w:bookmarkStart w:id="36" w:name="_Ref941"/>
      <w:r>
        <w:rPr>
          <w:sz w:val="24"/>
          <w:szCs w:val="24"/>
        </w:rPr>
        <w:t xml:space="preserve">Коллективные участники Отбора для подачи заявки должны заключить Договор (соглашение) в письменной форме, регулирующее совместную деятельность нескольких юридических лиц или индивидуальных предпринимателей по вопросам участия в Отборе (например, Договор простого товарищества – ст.1041 ГК РФ, соглашение о сотрудничестве). В Договоре простого товарищества (соглашении о сотрудничестве) необходимо: </w:t>
      </w:r>
      <w:bookmarkEnd w:id="36"/>
    </w:p>
    <w:p>
      <w:pPr>
        <w:jc w:val="both"/>
        <w:rPr>
          <w:sz w:val="24"/>
          <w:szCs w:val="24"/>
        </w:rPr>
      </w:pPr>
      <w:r>
        <w:rPr>
          <w:sz w:val="24"/>
          <w:szCs w:val="24"/>
        </w:rPr>
        <w:tab/>
      </w:r>
      <w:r>
        <w:rPr>
          <w:sz w:val="24"/>
          <w:szCs w:val="24"/>
        </w:rPr>
        <w:t xml:space="preserve">1) определить права и обязанности каждой стороны в рамках участия в процедуре Отбора и в рамках исполнения условий Договора; </w:t>
      </w:r>
    </w:p>
    <w:p>
      <w:pPr>
        <w:jc w:val="both"/>
        <w:rPr>
          <w:sz w:val="24"/>
          <w:szCs w:val="24"/>
        </w:rPr>
      </w:pPr>
      <w:r>
        <w:rPr>
          <w:sz w:val="24"/>
          <w:szCs w:val="24"/>
        </w:rPr>
        <w:tab/>
      </w:r>
      <w:r>
        <w:rPr>
          <w:sz w:val="24"/>
          <w:szCs w:val="24"/>
        </w:rPr>
        <w:t>2) установить четкое распределение объемов работ, выполняемых каждой организацией (если возможно);</w:t>
      </w:r>
    </w:p>
    <w:p>
      <w:pPr>
        <w:jc w:val="both"/>
        <w:rPr>
          <w:sz w:val="24"/>
          <w:szCs w:val="24"/>
        </w:rPr>
      </w:pPr>
      <w:r>
        <w:rPr>
          <w:sz w:val="24"/>
          <w:szCs w:val="24"/>
        </w:rPr>
        <w:tab/>
      </w:r>
      <w:r>
        <w:rPr>
          <w:sz w:val="24"/>
          <w:szCs w:val="24"/>
        </w:rPr>
        <w:t>3) определить лицо из числа членов Коллективного участника (ответственный Участник), которое представляет интересы каждого члена Коллективного участника и взаимодействует с Заказчиком, и наделить такое лицо соответствующими полномочиями;</w:t>
      </w:r>
    </w:p>
    <w:p>
      <w:pPr>
        <w:jc w:val="both"/>
        <w:rPr>
          <w:sz w:val="24"/>
          <w:szCs w:val="24"/>
        </w:rPr>
      </w:pPr>
      <w:r>
        <w:rPr>
          <w:sz w:val="24"/>
          <w:szCs w:val="24"/>
        </w:rPr>
        <w:tab/>
      </w:r>
      <w:r>
        <w:rPr>
          <w:sz w:val="24"/>
          <w:szCs w:val="24"/>
        </w:rPr>
        <w:t>4) установить субсидиарную ответственность каждого члена Коллективного участника по обязательствам, связанным с участием в Отборе, и/или солидарную ответственность за своевременное и полное исполнение условий Договора;</w:t>
      </w:r>
    </w:p>
    <w:p>
      <w:pPr>
        <w:jc w:val="both"/>
        <w:rPr>
          <w:sz w:val="24"/>
          <w:szCs w:val="24"/>
        </w:rPr>
      </w:pPr>
      <w:r>
        <w:rPr>
          <w:sz w:val="24"/>
          <w:szCs w:val="24"/>
        </w:rPr>
        <w:tab/>
      </w:r>
      <w:r>
        <w:rPr>
          <w:sz w:val="24"/>
          <w:szCs w:val="24"/>
        </w:rPr>
        <w:t>5) предусмотреть, что все операции по выполнению Договора в целом, включая расчеты и платежи, будут осуществляться только с ответственным Участником, при условии, что Заказчика устраивает предложенная схема сотрудничества.</w:t>
      </w:r>
    </w:p>
    <w:p>
      <w:pPr>
        <w:jc w:val="both"/>
        <w:rPr>
          <w:sz w:val="24"/>
          <w:szCs w:val="24"/>
        </w:rPr>
      </w:pPr>
      <w:r>
        <w:rPr>
          <w:sz w:val="24"/>
          <w:szCs w:val="24"/>
        </w:rPr>
        <w:tab/>
      </w:r>
      <w:r>
        <w:rPr>
          <w:sz w:val="24"/>
          <w:szCs w:val="24"/>
        </w:rPr>
        <w:t>Отсутствие одного или нескольких из перечисленных в настоящем пункте условий в Договоре (соглашении о сотрудничестве) членов Коллективного участника является для Заказчика основанием для отклонения заявки Коллективного участника как несоответствующей требованиям Отбора.</w:t>
      </w:r>
    </w:p>
    <w:p>
      <w:pPr>
        <w:numPr>
          <w:ilvl w:val="2"/>
          <w:numId w:val="10"/>
        </w:numPr>
        <w:tabs>
          <w:tab w:val="left" w:pos="600"/>
        </w:tabs>
        <w:ind w:left="0" w:firstLine="0"/>
        <w:jc w:val="both"/>
        <w:rPr>
          <w:sz w:val="24"/>
          <w:szCs w:val="24"/>
        </w:rPr>
      </w:pPr>
      <w:r>
        <w:rPr>
          <w:sz w:val="24"/>
          <w:szCs w:val="24"/>
        </w:rPr>
        <w:tab/>
      </w:r>
      <w:r>
        <w:rPr>
          <w:sz w:val="24"/>
          <w:szCs w:val="24"/>
        </w:rPr>
        <w:t>Заявка на участие в Отборе подготавливается и подается ответственным Участником от своего имени со ссылкой на то, что он представляет интересы Коллективного участника. В состав заявки дополнительно включается копия соглашения между организациями, составляющими Коллективного участника.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Отбора в качестве Участника или соисполнителя. Несоблюдение данного требования является основанием для отклонения заявок как всех Участников, на стороне которых выступает такое лицо, так и заявки, поданной таким лицом самостоятельно.</w:t>
      </w:r>
    </w:p>
    <w:p>
      <w:pPr>
        <w:numPr>
          <w:ilvl w:val="2"/>
          <w:numId w:val="10"/>
        </w:numPr>
        <w:tabs>
          <w:tab w:val="left" w:pos="600"/>
        </w:tabs>
        <w:ind w:left="0" w:firstLine="0"/>
        <w:jc w:val="both"/>
        <w:rPr>
          <w:sz w:val="24"/>
          <w:szCs w:val="24"/>
        </w:rPr>
      </w:pPr>
      <w:r>
        <w:rPr>
          <w:sz w:val="24"/>
          <w:szCs w:val="24"/>
        </w:rPr>
        <w:tab/>
      </w:r>
      <w:r>
        <w:rPr>
          <w:sz w:val="24"/>
          <w:szCs w:val="24"/>
        </w:rPr>
        <w:t>Заявка на участие в Отборе в совокупности от нескольких лиц, действующих на основании Договора простого товарищества, может быть подана одним товарищем, действующим от имени остальных Участников простого товарищества на основании доверенности, выданной такому товарищу остальными товарищами, а равно может быть подана несколькими лицами.</w:t>
      </w:r>
    </w:p>
    <w:p>
      <w:pPr>
        <w:numPr>
          <w:ilvl w:val="2"/>
          <w:numId w:val="10"/>
        </w:numPr>
        <w:tabs>
          <w:tab w:val="left" w:pos="600"/>
        </w:tabs>
        <w:ind w:left="0" w:firstLine="0"/>
        <w:jc w:val="both"/>
        <w:rPr>
          <w:sz w:val="24"/>
          <w:szCs w:val="24"/>
        </w:rPr>
      </w:pPr>
      <w:r>
        <w:rPr>
          <w:sz w:val="24"/>
          <w:szCs w:val="24"/>
        </w:rPr>
        <w:t>Оценивая коллективного участника, количественные параметры деятельности заказчиком суммируются. Если же какой-то показатель суммировать нельзя, то он должен быть в наличии хотя бы у одного из участников объединения.</w:t>
      </w:r>
    </w:p>
    <w:p>
      <w:pPr>
        <w:numPr>
          <w:ilvl w:val="2"/>
          <w:numId w:val="10"/>
        </w:numPr>
        <w:tabs>
          <w:tab w:val="left" w:pos="600"/>
          <w:tab w:val="left" w:pos="993"/>
          <w:tab w:val="clear" w:pos="709"/>
        </w:tabs>
        <w:autoSpaceDE w:val="0"/>
        <w:autoSpaceDN w:val="0"/>
        <w:adjustRightInd w:val="0"/>
        <w:ind w:left="0" w:firstLine="0"/>
        <w:jc w:val="both"/>
        <w:rPr>
          <w:sz w:val="24"/>
          <w:szCs w:val="24"/>
        </w:rPr>
      </w:pPr>
      <w:r>
        <w:rPr>
          <w:sz w:val="24"/>
          <w:szCs w:val="24"/>
        </w:rPr>
        <w:t>В случае если Победителем в процедуре закупки признан Участник закупки, на стороне которого выступали несколько индивидуальных предпринимателей или юридических лиц, Заказчиком заключается один Договор со всеми  такими лицами, выступавшими на стороне победившего Участника закупки,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pPr>
        <w:numPr>
          <w:ilvl w:val="2"/>
          <w:numId w:val="10"/>
        </w:numPr>
        <w:tabs>
          <w:tab w:val="left" w:pos="600"/>
          <w:tab w:val="left" w:pos="993"/>
          <w:tab w:val="clear" w:pos="709"/>
        </w:tabs>
        <w:autoSpaceDE w:val="0"/>
        <w:autoSpaceDN w:val="0"/>
        <w:adjustRightInd w:val="0"/>
        <w:ind w:left="0" w:firstLine="0"/>
        <w:jc w:val="both"/>
        <w:rPr>
          <w:sz w:val="24"/>
          <w:szCs w:val="24"/>
        </w:rPr>
      </w:pPr>
      <w:r>
        <w:rPr>
          <w:sz w:val="24"/>
          <w:szCs w:val="24"/>
        </w:rPr>
        <w:t>Лица, выступающие на стороне одного участника Отбора, не вправе участвовать в этой же закупке самостоятельно или на стороне другого участника Отбора. Несоблюдение данного требования является основанием для отклонения заявок как всех участников Отбора, на стороне которых выступает такое лицо, так и заявки, поданной таким лицом самостоятельно.</w:t>
      </w:r>
    </w:p>
    <w:p>
      <w:pPr>
        <w:numPr>
          <w:ilvl w:val="2"/>
          <w:numId w:val="10"/>
        </w:numPr>
        <w:ind w:left="0" w:firstLine="0"/>
        <w:jc w:val="both"/>
        <w:rPr>
          <w:sz w:val="24"/>
          <w:szCs w:val="24"/>
        </w:rPr>
      </w:pPr>
      <w:bookmarkStart w:id="37" w:name="_Ref514532634"/>
      <w:r>
        <w:rPr>
          <w:sz w:val="24"/>
          <w:szCs w:val="24"/>
        </w:rPr>
        <w:t xml:space="preserve">Каждый член Коллективного участника (включая лидера Коллективного участника) должен отвечать всем обязательным требованиям Документации об отборе, изложенным в пункте </w:t>
      </w:r>
      <w:r>
        <w:rPr>
          <w:sz w:val="24"/>
          <w:szCs w:val="24"/>
        </w:rPr>
        <w:fldChar w:fldCharType="begin"/>
      </w:r>
      <w:r>
        <w:rPr>
          <w:sz w:val="24"/>
          <w:szCs w:val="24"/>
        </w:rPr>
        <w:instrText xml:space="preserve"> REF _Ref1088 \n \h </w:instrText>
      </w:r>
      <w:r>
        <w:rPr>
          <w:sz w:val="24"/>
          <w:szCs w:val="24"/>
        </w:rPr>
        <w:fldChar w:fldCharType="separate"/>
      </w:r>
      <w:r>
        <w:rPr>
          <w:sz w:val="24"/>
          <w:szCs w:val="24"/>
        </w:rPr>
        <w:t>2.1.3</w:t>
      </w:r>
      <w:r>
        <w:rPr>
          <w:sz w:val="24"/>
          <w:szCs w:val="24"/>
        </w:rPr>
        <w:fldChar w:fldCharType="end"/>
      </w:r>
      <w:r>
        <w:rPr>
          <w:sz w:val="24"/>
          <w:szCs w:val="24"/>
        </w:rPr>
        <w:t xml:space="preserve"> Документации об отборе. </w:t>
      </w:r>
      <w:bookmarkEnd w:id="37"/>
    </w:p>
    <w:p>
      <w:pPr>
        <w:numPr>
          <w:ilvl w:val="2"/>
          <w:numId w:val="10"/>
        </w:numPr>
        <w:ind w:left="0" w:firstLine="0"/>
        <w:jc w:val="both"/>
        <w:rPr>
          <w:sz w:val="24"/>
          <w:szCs w:val="24"/>
        </w:rPr>
      </w:pPr>
      <w:bookmarkStart w:id="38" w:name="_Ref502240664"/>
      <w:r>
        <w:rPr>
          <w:sz w:val="24"/>
          <w:szCs w:val="24"/>
        </w:rPr>
        <w:t xml:space="preserve">В случае несоответствия какого-либо из заявленных членов Коллективного участника требованиям, установленным в пунктах </w:t>
      </w:r>
      <w:r>
        <w:rPr>
          <w:sz w:val="24"/>
          <w:szCs w:val="24"/>
        </w:rPr>
        <w:fldChar w:fldCharType="begin"/>
      </w:r>
      <w:r>
        <w:rPr>
          <w:sz w:val="24"/>
          <w:szCs w:val="24"/>
        </w:rPr>
        <w:instrText xml:space="preserve"> REF _Toc12190 \n \h </w:instrText>
      </w:r>
      <w:r>
        <w:rPr>
          <w:sz w:val="24"/>
          <w:szCs w:val="24"/>
        </w:rPr>
        <w:fldChar w:fldCharType="separate"/>
      </w:r>
      <w:r>
        <w:rPr>
          <w:sz w:val="24"/>
          <w:szCs w:val="24"/>
        </w:rPr>
        <w:t>2.1</w:t>
      </w:r>
      <w:r>
        <w:rPr>
          <w:sz w:val="24"/>
          <w:szCs w:val="24"/>
        </w:rPr>
        <w:fldChar w:fldCharType="end"/>
      </w:r>
      <w:r>
        <w:rPr>
          <w:sz w:val="24"/>
          <w:szCs w:val="24"/>
        </w:rPr>
        <w:t>, заявка такого Коллективного участника отклоняется.</w:t>
      </w:r>
    </w:p>
    <w:bookmarkEnd w:id="38"/>
    <w:p>
      <w:pPr>
        <w:pStyle w:val="2"/>
        <w:keepLines w:val="0"/>
        <w:numPr>
          <w:ilvl w:val="0"/>
          <w:numId w:val="10"/>
        </w:numPr>
        <w:jc w:val="center"/>
        <w:rPr>
          <w:rFonts w:ascii="Times New Roman" w:hAnsi="Times New Roman" w:cs="Times New Roman"/>
          <w:b/>
          <w:bCs/>
          <w:color w:val="auto"/>
          <w:sz w:val="24"/>
          <w:szCs w:val="24"/>
        </w:rPr>
      </w:pPr>
      <w:bookmarkStart w:id="39" w:name="_Ref514453352"/>
      <w:bookmarkStart w:id="40" w:name="_Toc123123764"/>
      <w:bookmarkStart w:id="41" w:name="_Toc24990"/>
      <w:bookmarkStart w:id="42" w:name="_Toc19898"/>
      <w:bookmarkStart w:id="43" w:name="_Toc3676"/>
      <w:bookmarkStart w:id="44" w:name="_Toc20452"/>
      <w:r>
        <w:rPr>
          <w:rFonts w:ascii="Times New Roman" w:hAnsi="Times New Roman" w:cs="Times New Roman"/>
          <w:b/>
          <w:bCs/>
          <w:color w:val="auto"/>
          <w:sz w:val="24"/>
          <w:szCs w:val="24"/>
        </w:rPr>
        <w:t>Порядок проведения Отбора. Инструкции по подготовке заявок</w:t>
      </w:r>
      <w:bookmarkEnd w:id="39"/>
      <w:bookmarkEnd w:id="40"/>
      <w:r>
        <w:rPr>
          <w:rFonts w:ascii="Times New Roman" w:hAnsi="Times New Roman" w:cs="Times New Roman"/>
          <w:b/>
          <w:bCs/>
          <w:color w:val="auto"/>
          <w:sz w:val="24"/>
          <w:szCs w:val="24"/>
        </w:rPr>
        <w:t>.</w:t>
      </w:r>
      <w:bookmarkEnd w:id="41"/>
      <w:bookmarkEnd w:id="42"/>
      <w:bookmarkEnd w:id="43"/>
      <w:bookmarkEnd w:id="44"/>
    </w:p>
    <w:p>
      <w:pPr>
        <w:numPr>
          <w:ilvl w:val="1"/>
          <w:numId w:val="10"/>
        </w:numPr>
        <w:spacing w:before="120"/>
        <w:ind w:left="0" w:firstLine="0"/>
        <w:jc w:val="both"/>
        <w:rPr>
          <w:b/>
          <w:bCs/>
          <w:sz w:val="24"/>
          <w:szCs w:val="24"/>
        </w:rPr>
      </w:pPr>
      <w:r>
        <w:rPr>
          <w:b/>
          <w:bCs/>
          <w:sz w:val="24"/>
          <w:szCs w:val="24"/>
        </w:rPr>
        <w:t>Документации об отборе</w:t>
      </w:r>
    </w:p>
    <w:p>
      <w:pPr>
        <w:numPr>
          <w:ilvl w:val="2"/>
          <w:numId w:val="10"/>
        </w:numPr>
        <w:ind w:left="0" w:firstLine="0"/>
        <w:jc w:val="both"/>
        <w:rPr>
          <w:sz w:val="24"/>
          <w:szCs w:val="24"/>
        </w:rPr>
      </w:pPr>
      <w:r>
        <w:rPr>
          <w:sz w:val="24"/>
          <w:szCs w:val="24"/>
        </w:rPr>
        <w:t>Настоящая Документация об отборе разработана на основании норм действующего законодательства, Правил осуществления закупок для нужд Фонда развития ИНТЦ «Русский», Устава, иных локальных актов Фонда развития ИНТЦ «Русский».</w:t>
      </w:r>
    </w:p>
    <w:p>
      <w:pPr>
        <w:numPr>
          <w:ilvl w:val="2"/>
          <w:numId w:val="10"/>
        </w:numPr>
        <w:ind w:left="0" w:firstLine="0"/>
        <w:jc w:val="both"/>
        <w:rPr>
          <w:sz w:val="24"/>
          <w:szCs w:val="24"/>
        </w:rPr>
      </w:pPr>
      <w:r>
        <w:rPr>
          <w:sz w:val="24"/>
          <w:szCs w:val="24"/>
        </w:rPr>
        <w:t xml:space="preserve">Документация об отборе для ознакомления доступна в электронном виде на официальном сайте Заказчика в информационной-телекоммуникационной сети «Интернет» - http://www.iostrov.ru </w:t>
      </w:r>
    </w:p>
    <w:p>
      <w:pPr>
        <w:numPr>
          <w:ilvl w:val="2"/>
          <w:numId w:val="10"/>
        </w:numPr>
        <w:ind w:left="0" w:firstLine="0"/>
        <w:jc w:val="both"/>
        <w:rPr>
          <w:sz w:val="24"/>
          <w:szCs w:val="24"/>
        </w:rPr>
      </w:pPr>
      <w:r>
        <w:rPr>
          <w:sz w:val="24"/>
          <w:szCs w:val="24"/>
        </w:rPr>
        <w:t>Документация об отборе доступна для свободного ознакомления без взимания платы.</w:t>
      </w:r>
    </w:p>
    <w:p>
      <w:pPr>
        <w:numPr>
          <w:ilvl w:val="2"/>
          <w:numId w:val="10"/>
        </w:numPr>
        <w:ind w:left="0" w:firstLine="0"/>
        <w:jc w:val="both"/>
        <w:rPr>
          <w:sz w:val="24"/>
          <w:szCs w:val="24"/>
        </w:rPr>
      </w:pPr>
      <w:r>
        <w:rPr>
          <w:sz w:val="24"/>
          <w:szCs w:val="24"/>
        </w:rPr>
        <w:t>Участники обязаны самостоятельно отслеживать размещенные разъяснения и изменения Документации об отборе, а также информацию о принятых в ходе проведения Отбора решениях Заказчика.</w:t>
      </w:r>
    </w:p>
    <w:p>
      <w:pPr>
        <w:numPr>
          <w:ilvl w:val="2"/>
          <w:numId w:val="10"/>
        </w:numPr>
        <w:ind w:left="0" w:firstLine="0"/>
        <w:jc w:val="both"/>
        <w:rPr>
          <w:rFonts w:eastAsia="TimesNewRomanPS-BoldMT"/>
          <w:b/>
          <w:bCs/>
          <w:sz w:val="24"/>
          <w:szCs w:val="24"/>
          <w:lang w:eastAsia="zh-CN" w:bidi="ar"/>
        </w:rPr>
      </w:pPr>
      <w:bookmarkStart w:id="45" w:name="_Ref55277592"/>
      <w:bookmarkStart w:id="46" w:name="_Ref513474496"/>
      <w:r>
        <w:rPr>
          <w:sz w:val="24"/>
          <w:szCs w:val="24"/>
        </w:rPr>
        <w:t>В случае проведения Отбора с использованием ЭТП Участники могут получить Документацию об отборе также через ЭТП.</w:t>
      </w:r>
      <w:bookmarkEnd w:id="45"/>
      <w:r>
        <w:rPr>
          <w:sz w:val="24"/>
          <w:szCs w:val="24"/>
        </w:rPr>
        <w:t xml:space="preserve"> Порядок получения информации через ЭТП определяется Регламентом ЭТП, с использованием которой проводится Отбор.</w:t>
      </w:r>
      <w:bookmarkEnd w:id="46"/>
      <w:bookmarkStart w:id="47" w:name="_Ref514601359"/>
      <w:bookmarkStart w:id="48" w:name="_Toc123123768"/>
    </w:p>
    <w:p>
      <w:pPr>
        <w:numPr>
          <w:ilvl w:val="1"/>
          <w:numId w:val="10"/>
        </w:numPr>
        <w:spacing w:before="120"/>
        <w:ind w:left="0" w:firstLine="0"/>
        <w:jc w:val="both"/>
        <w:rPr>
          <w:rFonts w:eastAsia="TimesNewRomanPS-BoldMT"/>
          <w:b/>
          <w:bCs/>
          <w:sz w:val="24"/>
          <w:szCs w:val="24"/>
          <w:lang w:eastAsia="zh-CN" w:bidi="ar"/>
        </w:rPr>
      </w:pPr>
      <w:r>
        <w:rPr>
          <w:b/>
          <w:bCs/>
          <w:sz w:val="24"/>
          <w:szCs w:val="24"/>
          <w:lang w:eastAsia="zh-CN"/>
        </w:rPr>
        <w:t>Разъяснение документации об отборе.</w:t>
      </w:r>
    </w:p>
    <w:p>
      <w:pPr>
        <w:numPr>
          <w:ilvl w:val="2"/>
          <w:numId w:val="10"/>
        </w:numPr>
        <w:tabs>
          <w:tab w:val="clear" w:pos="709"/>
        </w:tabs>
        <w:ind w:left="0" w:firstLine="0"/>
        <w:jc w:val="both"/>
        <w:rPr>
          <w:sz w:val="24"/>
          <w:szCs w:val="24"/>
          <w:lang w:eastAsia="zh-CN" w:bidi="ar"/>
        </w:rPr>
      </w:pPr>
      <w:r>
        <w:rPr>
          <w:sz w:val="24"/>
          <w:szCs w:val="24"/>
          <w:lang w:eastAsia="zh-CN" w:bidi="ar"/>
        </w:rPr>
        <w:t>Участники О</w:t>
      </w:r>
      <w:r>
        <w:rPr>
          <w:sz w:val="24"/>
          <w:szCs w:val="24"/>
          <w:lang w:eastAsia="zh-CN"/>
        </w:rPr>
        <w:t>тбора</w:t>
      </w:r>
      <w:r>
        <w:rPr>
          <w:sz w:val="24"/>
          <w:szCs w:val="24"/>
          <w:lang w:eastAsia="zh-CN" w:bidi="ar"/>
        </w:rPr>
        <w:t xml:space="preserve"> вправе обратиться к Заказчику за разъяснениями </w:t>
      </w:r>
      <w:r>
        <w:rPr>
          <w:sz w:val="24"/>
          <w:szCs w:val="24"/>
          <w:lang w:eastAsia="zh-CN"/>
        </w:rPr>
        <w:t>документации об отборе</w:t>
      </w:r>
      <w:r>
        <w:rPr>
          <w:sz w:val="24"/>
          <w:szCs w:val="24"/>
          <w:lang w:eastAsia="zh-CN" w:bidi="ar"/>
        </w:rPr>
        <w:t xml:space="preserve">. Запросы на разъяснение </w:t>
      </w:r>
      <w:r>
        <w:rPr>
          <w:sz w:val="24"/>
          <w:szCs w:val="24"/>
          <w:lang w:eastAsia="zh-CN"/>
        </w:rPr>
        <w:t>документации об отборе</w:t>
      </w:r>
      <w:r>
        <w:rPr>
          <w:sz w:val="24"/>
          <w:szCs w:val="24"/>
          <w:lang w:eastAsia="zh-CN" w:bidi="ar"/>
        </w:rPr>
        <w:t xml:space="preserve"> должны подаваться в письменной форме за подписью руководителя организации или иного ответственного лица участника. При проведении О</w:t>
      </w:r>
      <w:r>
        <w:rPr>
          <w:sz w:val="24"/>
          <w:szCs w:val="24"/>
          <w:lang w:eastAsia="zh-CN"/>
        </w:rPr>
        <w:t>тбора</w:t>
      </w:r>
      <w:r>
        <w:rPr>
          <w:sz w:val="24"/>
          <w:szCs w:val="24"/>
          <w:lang w:eastAsia="zh-CN" w:bidi="ar"/>
        </w:rPr>
        <w:t xml:space="preserve"> на ЭТП, запросы на разъяснение </w:t>
      </w:r>
      <w:r>
        <w:rPr>
          <w:sz w:val="24"/>
          <w:szCs w:val="24"/>
          <w:lang w:eastAsia="zh-CN"/>
        </w:rPr>
        <w:t>Документация об отборе</w:t>
      </w:r>
      <w:r>
        <w:rPr>
          <w:sz w:val="24"/>
          <w:szCs w:val="24"/>
          <w:lang w:eastAsia="zh-CN" w:bidi="ar"/>
        </w:rPr>
        <w:t xml:space="preserve"> принимаются способом, предусмотренным правилами данной ЭТП. Заказчик начинает принимать запросы на разъяснение </w:t>
      </w:r>
      <w:r>
        <w:rPr>
          <w:sz w:val="24"/>
          <w:szCs w:val="24"/>
          <w:lang w:eastAsia="zh-CN"/>
        </w:rPr>
        <w:t>документации об отборе</w:t>
      </w:r>
      <w:r>
        <w:rPr>
          <w:sz w:val="24"/>
          <w:szCs w:val="24"/>
          <w:lang w:eastAsia="zh-CN" w:bidi="ar"/>
        </w:rPr>
        <w:t xml:space="preserve"> с момента ее публикации </w:t>
      </w:r>
      <w:r>
        <w:rPr>
          <w:sz w:val="24"/>
          <w:szCs w:val="24"/>
        </w:rPr>
        <w:t>на сайте Заказчика</w:t>
      </w:r>
      <w:r>
        <w:rPr>
          <w:sz w:val="24"/>
          <w:szCs w:val="24"/>
          <w:lang w:eastAsia="zh-CN" w:bidi="ar"/>
        </w:rPr>
        <w:t xml:space="preserve">. </w:t>
      </w:r>
    </w:p>
    <w:p>
      <w:pPr>
        <w:numPr>
          <w:ilvl w:val="2"/>
          <w:numId w:val="10"/>
        </w:numPr>
        <w:tabs>
          <w:tab w:val="clear" w:pos="709"/>
        </w:tabs>
        <w:ind w:left="0" w:firstLine="0"/>
        <w:jc w:val="both"/>
        <w:rPr>
          <w:sz w:val="24"/>
          <w:szCs w:val="24"/>
          <w:lang w:eastAsia="zh-CN" w:bidi="ar"/>
        </w:rPr>
      </w:pPr>
      <w:r>
        <w:rPr>
          <w:sz w:val="24"/>
          <w:szCs w:val="24"/>
          <w:lang w:eastAsia="zh-CN"/>
        </w:rPr>
        <w:t xml:space="preserve">В течение трех дней со дня направления разъяснения положений документации об отборе по запросу участника Отбора такое разъяснение должно быть размещено Заказчиком на сайте Заказчика с содержанием запроса на разъяснение положений документации об отборе, без указания участника Отбора, от которого поступил запрос. </w:t>
      </w:r>
      <w:r>
        <w:rPr>
          <w:sz w:val="24"/>
          <w:szCs w:val="24"/>
          <w:lang w:eastAsia="zh-CN" w:bidi="ar"/>
        </w:rPr>
        <w:t xml:space="preserve"> </w:t>
      </w:r>
    </w:p>
    <w:p>
      <w:pPr>
        <w:numPr>
          <w:ilvl w:val="2"/>
          <w:numId w:val="10"/>
        </w:numPr>
        <w:tabs>
          <w:tab w:val="clear" w:pos="709"/>
        </w:tabs>
        <w:ind w:left="0" w:firstLine="0"/>
        <w:jc w:val="both"/>
        <w:rPr>
          <w:sz w:val="24"/>
          <w:szCs w:val="24"/>
          <w:lang w:eastAsia="zh-CN" w:bidi="ar"/>
        </w:rPr>
      </w:pPr>
      <w:r>
        <w:rPr>
          <w:sz w:val="24"/>
          <w:szCs w:val="24"/>
          <w:lang w:eastAsia="zh-CN"/>
        </w:rPr>
        <w:t>Заказчик вправе оставить без разъяснений запрос, направленный позднее, чем за три дня до окончания срока подачи заявок.</w:t>
      </w:r>
    </w:p>
    <w:p>
      <w:pPr>
        <w:numPr>
          <w:ilvl w:val="2"/>
          <w:numId w:val="10"/>
        </w:numPr>
        <w:tabs>
          <w:tab w:val="clear" w:pos="709"/>
        </w:tabs>
        <w:ind w:left="0" w:firstLine="0"/>
        <w:jc w:val="both"/>
        <w:rPr>
          <w:sz w:val="24"/>
          <w:szCs w:val="24"/>
          <w:lang w:eastAsia="zh-CN" w:bidi="ar"/>
        </w:rPr>
      </w:pPr>
      <w:r>
        <w:rPr>
          <w:sz w:val="24"/>
          <w:szCs w:val="24"/>
          <w:lang w:eastAsia="zh-CN" w:bidi="ar"/>
        </w:rPr>
        <w:t xml:space="preserve">Разъяснения </w:t>
      </w:r>
      <w:r>
        <w:rPr>
          <w:sz w:val="24"/>
          <w:szCs w:val="24"/>
          <w:lang w:eastAsia="zh-CN"/>
        </w:rPr>
        <w:t>Документации об отборе</w:t>
      </w:r>
      <w:r>
        <w:rPr>
          <w:sz w:val="24"/>
          <w:szCs w:val="24"/>
          <w:lang w:eastAsia="zh-CN" w:bidi="ar"/>
        </w:rPr>
        <w:t xml:space="preserve"> должны носить справочный характер и не накладывают на Заказчика никаких обязательств.</w:t>
      </w:r>
    </w:p>
    <w:p>
      <w:pPr>
        <w:numPr>
          <w:ilvl w:val="1"/>
          <w:numId w:val="10"/>
        </w:numPr>
        <w:spacing w:before="120"/>
        <w:ind w:left="0" w:firstLine="0"/>
        <w:jc w:val="both"/>
        <w:rPr>
          <w:b/>
          <w:bCs/>
          <w:sz w:val="24"/>
          <w:szCs w:val="24"/>
        </w:rPr>
      </w:pPr>
      <w:r>
        <w:rPr>
          <w:b/>
          <w:bCs/>
          <w:sz w:val="24"/>
          <w:szCs w:val="24"/>
        </w:rPr>
        <w:t>Изменения Документации о</w:t>
      </w:r>
      <w:bookmarkEnd w:id="47"/>
      <w:bookmarkEnd w:id="48"/>
      <w:r>
        <w:rPr>
          <w:b/>
          <w:bCs/>
          <w:sz w:val="24"/>
          <w:szCs w:val="24"/>
        </w:rPr>
        <w:t>б отборе.</w:t>
      </w:r>
    </w:p>
    <w:p>
      <w:pPr>
        <w:numPr>
          <w:ilvl w:val="2"/>
          <w:numId w:val="10"/>
        </w:numPr>
        <w:ind w:left="0" w:firstLine="0"/>
        <w:jc w:val="both"/>
        <w:rPr>
          <w:sz w:val="24"/>
          <w:szCs w:val="24"/>
        </w:rPr>
      </w:pPr>
      <w:bookmarkStart w:id="49" w:name="_Ref1621"/>
      <w:r>
        <w:rPr>
          <w:sz w:val="24"/>
          <w:szCs w:val="24"/>
        </w:rPr>
        <w:t>Заказчик вправе принять решение о внесении изменений в Документацию об отборе. В течение 3 (трех) дней со дня принятия указанного решения такие изменения размещаются на сайте Заказчика.</w:t>
      </w:r>
    </w:p>
    <w:p>
      <w:pPr>
        <w:numPr>
          <w:ilvl w:val="2"/>
          <w:numId w:val="10"/>
        </w:numPr>
        <w:ind w:left="0" w:firstLine="0"/>
        <w:jc w:val="both"/>
        <w:rPr>
          <w:sz w:val="24"/>
          <w:szCs w:val="24"/>
        </w:rPr>
      </w:pPr>
      <w:r>
        <w:rPr>
          <w:sz w:val="24"/>
          <w:szCs w:val="24"/>
        </w:rPr>
        <w:t xml:space="preserve">Заказчик также вправе продлить срок подачи заявок после осуществления процедуры открытия доступа, если по полученной средствами ЭТП информации о количестве поданных заявках оказывается, что не подано ни одной заявки, или подана только одна заявка. </w:t>
      </w:r>
      <w:bookmarkEnd w:id="49"/>
    </w:p>
    <w:p>
      <w:pPr>
        <w:numPr>
          <w:ilvl w:val="2"/>
          <w:numId w:val="10"/>
        </w:numPr>
        <w:ind w:left="0" w:firstLine="0"/>
        <w:jc w:val="both"/>
        <w:rPr>
          <w:sz w:val="24"/>
          <w:szCs w:val="24"/>
        </w:rPr>
      </w:pPr>
      <w:r>
        <w:rPr>
          <w:sz w:val="24"/>
          <w:szCs w:val="24"/>
        </w:rPr>
        <w:t>Участники обязаны учитывать внесенные изменения при подготовке своих заявок. Все риски и последствия за подачу заявки без учета размещенных изменений Заказчиком несет Участник.</w:t>
      </w:r>
    </w:p>
    <w:p>
      <w:pPr>
        <w:numPr>
          <w:ilvl w:val="1"/>
          <w:numId w:val="10"/>
        </w:numPr>
        <w:tabs>
          <w:tab w:val="clear" w:pos="567"/>
        </w:tabs>
        <w:spacing w:before="120"/>
        <w:ind w:left="0" w:firstLine="0"/>
        <w:jc w:val="both"/>
        <w:rPr>
          <w:b/>
          <w:bCs/>
          <w:sz w:val="24"/>
          <w:szCs w:val="24"/>
        </w:rPr>
      </w:pPr>
      <w:bookmarkStart w:id="50" w:name="_Ref514556725"/>
      <w:bookmarkStart w:id="51" w:name="_Ref514601380"/>
      <w:bookmarkStart w:id="52" w:name="_Ref514607557"/>
      <w:bookmarkStart w:id="53" w:name="_Toc123123769"/>
      <w:r>
        <w:rPr>
          <w:b/>
          <w:bCs/>
          <w:sz w:val="24"/>
          <w:szCs w:val="24"/>
        </w:rPr>
        <w:t>Подготовка заявок</w:t>
      </w:r>
      <w:bookmarkEnd w:id="50"/>
      <w:bookmarkEnd w:id="51"/>
      <w:bookmarkEnd w:id="52"/>
      <w:bookmarkEnd w:id="53"/>
    </w:p>
    <w:p>
      <w:pPr>
        <w:pStyle w:val="368"/>
        <w:numPr>
          <w:ilvl w:val="2"/>
          <w:numId w:val="10"/>
        </w:numPr>
        <w:tabs>
          <w:tab w:val="left" w:pos="480"/>
          <w:tab w:val="left" w:pos="720"/>
          <w:tab w:val="clear" w:pos="709"/>
        </w:tabs>
        <w:spacing w:before="0" w:after="60"/>
        <w:ind w:left="0" w:firstLine="0"/>
        <w:jc w:val="both"/>
        <w:rPr>
          <w:sz w:val="24"/>
          <w:szCs w:val="24"/>
        </w:rPr>
      </w:pPr>
      <w:bookmarkStart w:id="54" w:name="_Ref30049"/>
      <w:r>
        <w:rPr>
          <w:sz w:val="24"/>
          <w:szCs w:val="24"/>
        </w:rPr>
        <w:t>Общие требования к заявке</w:t>
      </w:r>
      <w:bookmarkEnd w:id="54"/>
    </w:p>
    <w:p>
      <w:pPr>
        <w:pStyle w:val="347"/>
        <w:numPr>
          <w:ilvl w:val="3"/>
          <w:numId w:val="10"/>
        </w:numPr>
        <w:tabs>
          <w:tab w:val="left" w:pos="480"/>
          <w:tab w:val="left" w:pos="720"/>
          <w:tab w:val="clear" w:pos="850"/>
        </w:tabs>
        <w:spacing w:before="0"/>
        <w:ind w:left="0" w:firstLine="0"/>
        <w:rPr>
          <w:sz w:val="24"/>
          <w:szCs w:val="24"/>
        </w:rPr>
      </w:pPr>
      <w:bookmarkStart w:id="55" w:name="_Ref7749"/>
      <w:bookmarkStart w:id="56" w:name="_Ref56235235"/>
      <w:r>
        <w:rPr>
          <w:sz w:val="24"/>
          <w:szCs w:val="24"/>
        </w:rPr>
        <w:t>Участник должен подготовить заявку, включающую в себя:</w:t>
      </w:r>
      <w:bookmarkEnd w:id="55"/>
    </w:p>
    <w:p>
      <w:pPr>
        <w:pStyle w:val="347"/>
        <w:numPr>
          <w:ilvl w:val="2"/>
          <w:numId w:val="0"/>
        </w:numPr>
        <w:tabs>
          <w:tab w:val="left" w:pos="480"/>
          <w:tab w:val="left" w:pos="720"/>
        </w:tabs>
        <w:spacing w:before="0"/>
        <w:ind w:left="400" w:leftChars="200"/>
        <w:rPr>
          <w:sz w:val="24"/>
          <w:szCs w:val="24"/>
        </w:rPr>
      </w:pPr>
      <w:r>
        <w:rPr>
          <w:sz w:val="24"/>
          <w:szCs w:val="24"/>
        </w:rPr>
        <w:t>а) Заполненные формы в соответствии с образцами форм, установленными в разделе 6 Документации об отборе;</w:t>
      </w:r>
    </w:p>
    <w:p>
      <w:pPr>
        <w:pStyle w:val="347"/>
        <w:numPr>
          <w:ilvl w:val="2"/>
          <w:numId w:val="0"/>
        </w:numPr>
        <w:tabs>
          <w:tab w:val="left" w:pos="480"/>
          <w:tab w:val="left" w:pos="720"/>
        </w:tabs>
        <w:spacing w:before="0"/>
        <w:ind w:left="400" w:leftChars="200"/>
        <w:rPr>
          <w:sz w:val="24"/>
          <w:szCs w:val="24"/>
        </w:rPr>
      </w:pPr>
      <w:r>
        <w:rPr>
          <w:sz w:val="24"/>
          <w:szCs w:val="24"/>
        </w:rPr>
        <w:t xml:space="preserve">б) Документы, подтверждающие соответствие Участника обязательным требованиям установленные в п. </w:t>
      </w:r>
      <w:r>
        <w:rPr>
          <w:sz w:val="24"/>
          <w:szCs w:val="24"/>
        </w:rPr>
        <w:fldChar w:fldCharType="begin"/>
      </w:r>
      <w:r>
        <w:rPr>
          <w:sz w:val="24"/>
          <w:szCs w:val="24"/>
        </w:rPr>
        <w:instrText xml:space="preserve"> REF _Ref8269 \n \h </w:instrText>
      </w:r>
      <w:r>
        <w:rPr>
          <w:sz w:val="24"/>
          <w:szCs w:val="24"/>
        </w:rPr>
        <w:fldChar w:fldCharType="separate"/>
      </w:r>
      <w:r>
        <w:rPr>
          <w:sz w:val="24"/>
          <w:szCs w:val="24"/>
        </w:rPr>
        <w:t>2.2.1</w:t>
      </w:r>
      <w:r>
        <w:rPr>
          <w:sz w:val="24"/>
          <w:szCs w:val="24"/>
        </w:rPr>
        <w:fldChar w:fldCharType="end"/>
      </w:r>
      <w:r>
        <w:rPr>
          <w:sz w:val="24"/>
          <w:szCs w:val="24"/>
        </w:rPr>
        <w:t xml:space="preserve"> Документации об отборе;</w:t>
      </w:r>
    </w:p>
    <w:p>
      <w:pPr>
        <w:pStyle w:val="347"/>
        <w:numPr>
          <w:ilvl w:val="2"/>
          <w:numId w:val="0"/>
        </w:numPr>
        <w:tabs>
          <w:tab w:val="left" w:pos="480"/>
          <w:tab w:val="left" w:pos="720"/>
        </w:tabs>
        <w:spacing w:before="0"/>
        <w:ind w:left="400" w:leftChars="200"/>
        <w:rPr>
          <w:sz w:val="24"/>
          <w:szCs w:val="24"/>
        </w:rPr>
      </w:pPr>
      <w:r>
        <w:rPr>
          <w:sz w:val="24"/>
          <w:szCs w:val="24"/>
        </w:rPr>
        <w:t>в) Документы, подтверждающие соответствие Участника специальным требованиям установленные в п. 5.1 Документации об отборе, в случае установления таких требований</w:t>
      </w:r>
      <w:r>
        <w:t xml:space="preserve"> </w:t>
      </w:r>
      <w:r>
        <w:rPr>
          <w:sz w:val="24"/>
          <w:szCs w:val="24"/>
        </w:rPr>
        <w:t>Документацией об отборе;</w:t>
      </w:r>
    </w:p>
    <w:p>
      <w:pPr>
        <w:pStyle w:val="347"/>
        <w:numPr>
          <w:ilvl w:val="2"/>
          <w:numId w:val="0"/>
        </w:numPr>
        <w:tabs>
          <w:tab w:val="left" w:pos="480"/>
          <w:tab w:val="left" w:pos="720"/>
        </w:tabs>
        <w:spacing w:before="0"/>
        <w:ind w:left="400" w:leftChars="200"/>
        <w:rPr>
          <w:sz w:val="24"/>
          <w:szCs w:val="24"/>
        </w:rPr>
      </w:pPr>
      <w:r>
        <w:rPr>
          <w:sz w:val="24"/>
          <w:szCs w:val="24"/>
        </w:rPr>
        <w:t xml:space="preserve"> г) Документы, подтверждающие квалификацию Участника в качестве квалифицированного поставщика согласно предмету, проводимого предварительного квалификационного отбора установленные в п. 5.2 Документации об отборе, в случае установления таких требований Документацией об отборе;</w:t>
      </w:r>
    </w:p>
    <w:p>
      <w:pPr>
        <w:pStyle w:val="347"/>
        <w:numPr>
          <w:ilvl w:val="3"/>
          <w:numId w:val="10"/>
        </w:numPr>
        <w:tabs>
          <w:tab w:val="left" w:pos="480"/>
          <w:tab w:val="left" w:pos="720"/>
          <w:tab w:val="clear" w:pos="850"/>
        </w:tabs>
        <w:spacing w:before="0"/>
        <w:rPr>
          <w:sz w:val="24"/>
          <w:szCs w:val="24"/>
        </w:rPr>
      </w:pPr>
      <w:bookmarkStart w:id="57" w:name="_Hlk153209669"/>
      <w:r>
        <w:rPr>
          <w:sz w:val="24"/>
          <w:szCs w:val="24"/>
        </w:rPr>
        <w:t>В случае подачи заявки Коллективным участником</w:t>
      </w:r>
      <w:bookmarkEnd w:id="57"/>
      <w:r>
        <w:rPr>
          <w:sz w:val="24"/>
          <w:szCs w:val="24"/>
        </w:rPr>
        <w:t xml:space="preserve">: </w:t>
      </w:r>
    </w:p>
    <w:p>
      <w:pPr>
        <w:pStyle w:val="347"/>
        <w:numPr>
          <w:ilvl w:val="2"/>
          <w:numId w:val="0"/>
        </w:numPr>
        <w:tabs>
          <w:tab w:val="left" w:pos="480"/>
          <w:tab w:val="left" w:pos="720"/>
        </w:tabs>
        <w:spacing w:before="0"/>
        <w:ind w:firstLine="480" w:firstLineChars="200"/>
        <w:rPr>
          <w:sz w:val="24"/>
          <w:szCs w:val="24"/>
        </w:rPr>
      </w:pPr>
      <w:r>
        <w:rPr>
          <w:sz w:val="24"/>
          <w:szCs w:val="24"/>
        </w:rPr>
        <w:t xml:space="preserve">а) форма «Заявка на участие в предварительном квалификационном отборе» (п. 6.2 раздела 6 Документации об отборе), подписанная Лидером коллективного участника, действующим от имени всех остальных лиц Коллективного участника на основании соглашения (иного документа), соответствующего нормам Гражданского кодекса Российской Федерации и требованиям, установленным пунктом </w:t>
      </w:r>
      <w:r>
        <w:rPr>
          <w:sz w:val="24"/>
          <w:szCs w:val="24"/>
        </w:rPr>
        <w:fldChar w:fldCharType="begin"/>
      </w:r>
      <w:r>
        <w:rPr>
          <w:sz w:val="24"/>
          <w:szCs w:val="24"/>
        </w:rPr>
        <w:instrText xml:space="preserve"> REF _Ref941 \n \h </w:instrText>
      </w:r>
      <w:r>
        <w:rPr>
          <w:sz w:val="24"/>
          <w:szCs w:val="24"/>
        </w:rPr>
        <w:fldChar w:fldCharType="separate"/>
      </w:r>
      <w:r>
        <w:rPr>
          <w:sz w:val="24"/>
          <w:szCs w:val="24"/>
        </w:rPr>
        <w:t>2.3.3</w:t>
      </w:r>
      <w:r>
        <w:rPr>
          <w:sz w:val="24"/>
          <w:szCs w:val="24"/>
        </w:rPr>
        <w:fldChar w:fldCharType="end"/>
      </w:r>
      <w:r>
        <w:rPr>
          <w:sz w:val="24"/>
          <w:szCs w:val="24"/>
        </w:rPr>
        <w:t xml:space="preserve"> Документации об отборе. При заполнении формы «Заявка на участие в предварительном квалификационном отборе» в табличной части «Сведения об участнике предварительного квалификационного отбора» перечисляются сведения обо всех членах коллективного участника; в текстовой части декларативное подтверждение соответствие требованиям, установленным Документации об отборе, предоставляется по каждому члену коллективного участника отдельно;</w:t>
      </w:r>
    </w:p>
    <w:p>
      <w:pPr>
        <w:pStyle w:val="347"/>
        <w:numPr>
          <w:ilvl w:val="2"/>
          <w:numId w:val="0"/>
        </w:numPr>
        <w:tabs>
          <w:tab w:val="left" w:pos="480"/>
          <w:tab w:val="left" w:pos="720"/>
        </w:tabs>
        <w:spacing w:before="0"/>
        <w:ind w:firstLine="480" w:firstLineChars="200"/>
        <w:rPr>
          <w:sz w:val="24"/>
          <w:szCs w:val="24"/>
        </w:rPr>
      </w:pPr>
      <w:r>
        <w:rPr>
          <w:sz w:val="24"/>
          <w:szCs w:val="24"/>
        </w:rPr>
        <w:t xml:space="preserve">б) документы, предусмотренные подпунктами б), в), г) пункта </w:t>
      </w:r>
      <w:r>
        <w:rPr>
          <w:sz w:val="24"/>
          <w:szCs w:val="24"/>
        </w:rPr>
        <w:fldChar w:fldCharType="begin"/>
      </w:r>
      <w:r>
        <w:rPr>
          <w:sz w:val="24"/>
          <w:szCs w:val="24"/>
        </w:rPr>
        <w:instrText xml:space="preserve"> REF _Ref7749 \n \h </w:instrText>
      </w:r>
      <w:r>
        <w:rPr>
          <w:sz w:val="24"/>
          <w:szCs w:val="24"/>
        </w:rPr>
        <w:fldChar w:fldCharType="separate"/>
      </w:r>
      <w:r>
        <w:rPr>
          <w:sz w:val="24"/>
          <w:szCs w:val="24"/>
        </w:rPr>
        <w:t>3.4.1.1</w:t>
      </w:r>
      <w:r>
        <w:rPr>
          <w:sz w:val="24"/>
          <w:szCs w:val="24"/>
        </w:rPr>
        <w:fldChar w:fldCharType="end"/>
      </w:r>
      <w:r>
        <w:rPr>
          <w:sz w:val="24"/>
          <w:szCs w:val="24"/>
        </w:rPr>
        <w:t xml:space="preserve"> Документации об отборе </w:t>
      </w:r>
      <w:r>
        <w:rPr>
          <w:rFonts w:eastAsia="Arial Unicode MS"/>
          <w:color w:val="000000" w:themeColor="text1"/>
          <w:sz w:val="24"/>
          <w:szCs w:val="24"/>
          <w:lang w:eastAsia="zh-CN"/>
          <w14:textFill>
            <w14:solidFill>
              <w14:schemeClr w14:val="tx1"/>
            </w14:solidFill>
          </w14:textFill>
        </w:rPr>
        <w:t>предоставляется</w:t>
      </w:r>
      <w:r>
        <w:rPr>
          <w:sz w:val="24"/>
          <w:szCs w:val="24"/>
        </w:rPr>
        <w:t xml:space="preserve"> каждым членом Коллективного участника.</w:t>
      </w:r>
    </w:p>
    <w:p>
      <w:pPr>
        <w:widowControl w:val="0"/>
        <w:numPr>
          <w:ilvl w:val="3"/>
          <w:numId w:val="10"/>
        </w:numPr>
        <w:tabs>
          <w:tab w:val="left" w:pos="480"/>
          <w:tab w:val="left" w:pos="720"/>
          <w:tab w:val="clear" w:pos="850"/>
        </w:tabs>
        <w:ind w:left="0" w:firstLine="0"/>
        <w:jc w:val="both"/>
        <w:rPr>
          <w:sz w:val="24"/>
          <w:szCs w:val="24"/>
        </w:rPr>
      </w:pPr>
      <w:bookmarkStart w:id="58" w:name="_Ref466382406"/>
      <w:bookmarkStart w:id="59" w:name="_Ref56240821"/>
      <w:bookmarkStart w:id="60" w:name="_Ref514625050"/>
      <w:r>
        <w:rPr>
          <w:sz w:val="24"/>
          <w:szCs w:val="24"/>
        </w:rPr>
        <w:t>Участник имеет право подать только одну заявку. В случае нарушения этого требования все поданные им заявки подлежат отклонению.</w:t>
      </w:r>
      <w:bookmarkEnd w:id="58"/>
      <w:bookmarkEnd w:id="59"/>
      <w:r>
        <w:rPr>
          <w:sz w:val="24"/>
          <w:szCs w:val="24"/>
        </w:rPr>
        <w:t xml:space="preserve"> </w:t>
      </w:r>
    </w:p>
    <w:p>
      <w:pPr>
        <w:pStyle w:val="347"/>
        <w:numPr>
          <w:ilvl w:val="3"/>
          <w:numId w:val="10"/>
        </w:numPr>
        <w:tabs>
          <w:tab w:val="left" w:pos="480"/>
          <w:tab w:val="left" w:pos="720"/>
          <w:tab w:val="clear" w:pos="850"/>
        </w:tabs>
        <w:spacing w:before="0"/>
        <w:ind w:left="0" w:firstLine="0"/>
        <w:rPr>
          <w:sz w:val="24"/>
          <w:szCs w:val="24"/>
        </w:rPr>
      </w:pPr>
      <w:bookmarkStart w:id="61" w:name="_Ref515979979"/>
      <w:r>
        <w:rPr>
          <w:sz w:val="24"/>
          <w:szCs w:val="24"/>
        </w:rPr>
        <w:t xml:space="preserve">Документы, входящие в заявку, не должны содержать недостоверные сведения или намеренно искажённую информацию, а также должны отсутствовать внутренние противоречия между различными частями и/или документами заявки, </w:t>
      </w:r>
      <w:bookmarkStart w:id="62" w:name="_Hlk109233089"/>
      <w:r>
        <w:rPr>
          <w:sz w:val="24"/>
          <w:szCs w:val="24"/>
        </w:rPr>
        <w:t>в том числе по тексту внутри одного документа</w:t>
      </w:r>
      <w:bookmarkEnd w:id="62"/>
      <w:r>
        <w:rPr>
          <w:sz w:val="24"/>
          <w:szCs w:val="24"/>
        </w:rPr>
        <w:t>.</w:t>
      </w:r>
      <w:bookmarkEnd w:id="60"/>
      <w:bookmarkEnd w:id="61"/>
    </w:p>
    <w:bookmarkEnd w:id="56"/>
    <w:p>
      <w:pPr>
        <w:widowControl w:val="0"/>
        <w:numPr>
          <w:ilvl w:val="3"/>
          <w:numId w:val="10"/>
        </w:numPr>
        <w:tabs>
          <w:tab w:val="left" w:pos="480"/>
          <w:tab w:val="left" w:pos="720"/>
          <w:tab w:val="clear" w:pos="850"/>
        </w:tabs>
        <w:ind w:left="0" w:firstLine="0"/>
        <w:jc w:val="both"/>
        <w:rPr>
          <w:sz w:val="24"/>
          <w:szCs w:val="24"/>
        </w:rPr>
      </w:pPr>
      <w:bookmarkStart w:id="63" w:name="_Ref513467622"/>
      <w:bookmarkStart w:id="64" w:name="_Ref513815715"/>
      <w:r>
        <w:rPr>
          <w:sz w:val="24"/>
          <w:szCs w:val="24"/>
        </w:rPr>
        <w:t>Все заполненные формы установленными в разделе 6 должны быть скреплены печатью Участника (при наличии) и подписано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копия доверенности (с указанием правомочий на подписание заявки) прикладывается к заявке.</w:t>
      </w:r>
      <w:bookmarkEnd w:id="63"/>
      <w:bookmarkEnd w:id="64"/>
    </w:p>
    <w:p>
      <w:pPr>
        <w:numPr>
          <w:ilvl w:val="3"/>
          <w:numId w:val="10"/>
        </w:numPr>
        <w:tabs>
          <w:tab w:val="left" w:pos="480"/>
          <w:tab w:val="left" w:pos="720"/>
          <w:tab w:val="clear" w:pos="850"/>
        </w:tabs>
        <w:ind w:left="0" w:firstLine="0"/>
        <w:jc w:val="both"/>
        <w:rPr>
          <w:sz w:val="24"/>
          <w:szCs w:val="24"/>
        </w:rPr>
      </w:pPr>
      <w:bookmarkStart w:id="65" w:name="_Ref513815728"/>
      <w:r>
        <w:rPr>
          <w:sz w:val="24"/>
          <w:szCs w:val="24"/>
        </w:rPr>
        <w:t>Никакие исправления в тексте заявки не имеют силу</w:t>
      </w:r>
      <w:bookmarkEnd w:id="65"/>
      <w:r>
        <w:rPr>
          <w:sz w:val="24"/>
          <w:szCs w:val="24"/>
        </w:rPr>
        <w:t>.</w:t>
      </w:r>
    </w:p>
    <w:p>
      <w:pPr>
        <w:pStyle w:val="347"/>
        <w:numPr>
          <w:ilvl w:val="3"/>
          <w:numId w:val="10"/>
        </w:numPr>
        <w:tabs>
          <w:tab w:val="left" w:pos="480"/>
          <w:tab w:val="left" w:pos="720"/>
          <w:tab w:val="clear" w:pos="850"/>
        </w:tabs>
        <w:spacing w:before="0"/>
        <w:ind w:left="0" w:firstLine="0"/>
        <w:rPr>
          <w:sz w:val="24"/>
          <w:szCs w:val="24"/>
        </w:rPr>
      </w:pPr>
      <w:r>
        <w:rPr>
          <w:sz w:val="24"/>
          <w:szCs w:val="24"/>
        </w:rPr>
        <w:t>В случае если закупка проводится с использованием ЭТП, Участники готовят свои заявки с соблюдением следующих условий:</w:t>
      </w:r>
    </w:p>
    <w:p>
      <w:pPr>
        <w:pStyle w:val="366"/>
        <w:widowControl w:val="0"/>
        <w:numPr>
          <w:ilvl w:val="0"/>
          <w:numId w:val="0"/>
        </w:numPr>
        <w:tabs>
          <w:tab w:val="left" w:pos="480"/>
          <w:tab w:val="left" w:pos="720"/>
        </w:tabs>
        <w:spacing w:before="0"/>
        <w:ind w:left="400" w:leftChars="200"/>
        <w:rPr>
          <w:sz w:val="24"/>
          <w:szCs w:val="24"/>
        </w:rPr>
      </w:pPr>
      <w:r>
        <w:rPr>
          <w:sz w:val="24"/>
          <w:szCs w:val="24"/>
        </w:rPr>
        <w:t>а) 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pPr>
        <w:pStyle w:val="366"/>
        <w:widowControl w:val="0"/>
        <w:numPr>
          <w:ilvl w:val="0"/>
          <w:numId w:val="0"/>
        </w:numPr>
        <w:tabs>
          <w:tab w:val="left" w:pos="480"/>
          <w:tab w:val="left" w:pos="720"/>
        </w:tabs>
        <w:spacing w:before="0"/>
        <w:ind w:left="400" w:leftChars="200"/>
        <w:rPr>
          <w:sz w:val="24"/>
          <w:szCs w:val="24"/>
        </w:rPr>
      </w:pPr>
      <w:r>
        <w:rPr>
          <w:sz w:val="24"/>
          <w:szCs w:val="24"/>
        </w:rPr>
        <w:t>б) Заявка должна быть подписана электронной подписью лица, которое является уполномоченным представителем Участника;</w:t>
      </w:r>
    </w:p>
    <w:p>
      <w:pPr>
        <w:pStyle w:val="366"/>
        <w:widowControl w:val="0"/>
        <w:numPr>
          <w:ilvl w:val="0"/>
          <w:numId w:val="0"/>
        </w:numPr>
        <w:tabs>
          <w:tab w:val="left" w:pos="480"/>
          <w:tab w:val="left" w:pos="720"/>
        </w:tabs>
        <w:spacing w:before="0"/>
        <w:ind w:left="400" w:leftChars="200"/>
        <w:rPr>
          <w:sz w:val="24"/>
          <w:szCs w:val="24"/>
        </w:rPr>
      </w:pPr>
      <w:bookmarkStart w:id="66" w:name="_Ref513472258"/>
      <w:r>
        <w:rPr>
          <w:sz w:val="24"/>
          <w:szCs w:val="24"/>
        </w:rPr>
        <w:t>в) 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bookmarkEnd w:id="66"/>
    </w:p>
    <w:p>
      <w:pPr>
        <w:pStyle w:val="366"/>
        <w:widowControl w:val="0"/>
        <w:numPr>
          <w:ilvl w:val="0"/>
          <w:numId w:val="0"/>
        </w:numPr>
        <w:tabs>
          <w:tab w:val="left" w:pos="480"/>
          <w:tab w:val="left" w:pos="720"/>
        </w:tabs>
        <w:spacing w:before="0"/>
        <w:ind w:left="400" w:leftChars="200"/>
        <w:rPr>
          <w:sz w:val="24"/>
          <w:szCs w:val="24"/>
        </w:rPr>
      </w:pPr>
      <w:r>
        <w:rPr>
          <w:sz w:val="24"/>
          <w:szCs w:val="24"/>
        </w:rPr>
        <w:t>г) 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pPr>
        <w:pStyle w:val="366"/>
        <w:widowControl w:val="0"/>
        <w:numPr>
          <w:ilvl w:val="0"/>
          <w:numId w:val="0"/>
        </w:numPr>
        <w:tabs>
          <w:tab w:val="left" w:pos="480"/>
          <w:tab w:val="left" w:pos="720"/>
        </w:tabs>
        <w:spacing w:before="0"/>
        <w:ind w:left="400" w:leftChars="200"/>
        <w:rPr>
          <w:sz w:val="24"/>
          <w:szCs w:val="24"/>
        </w:rPr>
      </w:pPr>
      <w:r>
        <w:rPr>
          <w:sz w:val="24"/>
          <w:szCs w:val="24"/>
        </w:rPr>
        <w:t>д) Все файлы не должны иметь защиты от их открытия, изменения, копирования их содержимого или их печати;</w:t>
      </w:r>
    </w:p>
    <w:p>
      <w:pPr>
        <w:pStyle w:val="366"/>
        <w:widowControl w:val="0"/>
        <w:numPr>
          <w:ilvl w:val="0"/>
          <w:numId w:val="0"/>
        </w:numPr>
        <w:tabs>
          <w:tab w:val="left" w:pos="480"/>
          <w:tab w:val="left" w:pos="720"/>
        </w:tabs>
        <w:spacing w:before="0"/>
        <w:ind w:left="400" w:leftChars="200"/>
        <w:rPr>
          <w:sz w:val="24"/>
          <w:szCs w:val="24"/>
        </w:rPr>
      </w:pPr>
      <w:bookmarkStart w:id="67" w:name="_Ref54955494"/>
      <w:r>
        <w:rPr>
          <w:sz w:val="24"/>
          <w:szCs w:val="24"/>
        </w:rPr>
        <w:t>е) В случае если какой-либо документ представлен в нечитаемом виде, данный документ считается не представленным.</w:t>
      </w:r>
      <w:bookmarkEnd w:id="67"/>
    </w:p>
    <w:p>
      <w:pPr>
        <w:pStyle w:val="347"/>
        <w:numPr>
          <w:ilvl w:val="3"/>
          <w:numId w:val="10"/>
        </w:numPr>
        <w:tabs>
          <w:tab w:val="left" w:pos="480"/>
          <w:tab w:val="left" w:pos="720"/>
          <w:tab w:val="clear" w:pos="850"/>
        </w:tabs>
        <w:spacing w:before="0"/>
        <w:ind w:left="0" w:firstLine="0"/>
        <w:rPr>
          <w:sz w:val="24"/>
          <w:szCs w:val="24"/>
        </w:rPr>
      </w:pPr>
      <w:r>
        <w:rPr>
          <w:sz w:val="24"/>
          <w:szCs w:val="24"/>
        </w:rPr>
        <w:t>В случае если закупка проводится в бумажной форме, Участники готовят свои заявки с соблюдением следующих условий:</w:t>
      </w:r>
    </w:p>
    <w:p>
      <w:pPr>
        <w:pStyle w:val="366"/>
        <w:widowControl w:val="0"/>
        <w:numPr>
          <w:ilvl w:val="0"/>
          <w:numId w:val="0"/>
        </w:numPr>
        <w:tabs>
          <w:tab w:val="left" w:pos="480"/>
          <w:tab w:val="left" w:pos="720"/>
        </w:tabs>
        <w:spacing w:before="0"/>
        <w:rPr>
          <w:sz w:val="24"/>
          <w:szCs w:val="24"/>
        </w:rPr>
      </w:pPr>
      <w:r>
        <w:rPr>
          <w:sz w:val="24"/>
          <w:szCs w:val="24"/>
        </w:rPr>
        <w:t>а) Заявка должна быть подготовлена в печатном виде (на бумажном носителе)</w:t>
      </w:r>
      <w:bookmarkStart w:id="68" w:name="_Ref513472935"/>
      <w:r>
        <w:rPr>
          <w:sz w:val="24"/>
          <w:szCs w:val="24"/>
        </w:rPr>
        <w:t>, а также 1 (одной) копии заявки на электронном носителе.</w:t>
      </w:r>
    </w:p>
    <w:p>
      <w:pPr>
        <w:pStyle w:val="366"/>
        <w:widowControl w:val="0"/>
        <w:numPr>
          <w:ilvl w:val="0"/>
          <w:numId w:val="0"/>
        </w:numPr>
        <w:tabs>
          <w:tab w:val="left" w:pos="480"/>
          <w:tab w:val="left" w:pos="720"/>
        </w:tabs>
        <w:spacing w:before="0"/>
        <w:rPr>
          <w:sz w:val="24"/>
          <w:szCs w:val="24"/>
        </w:rPr>
      </w:pPr>
      <w:bookmarkStart w:id="69" w:name="_Ref47088537"/>
      <w:bookmarkStart w:id="70" w:name="_Hlk49441723"/>
      <w:r>
        <w:rPr>
          <w:sz w:val="24"/>
          <w:szCs w:val="24"/>
        </w:rPr>
        <w:t xml:space="preserve">б) Каждый документ, входящий в заявку,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w:t>
      </w:r>
      <w:bookmarkEnd w:id="69"/>
      <w:r>
        <w:rPr>
          <w:sz w:val="24"/>
          <w:szCs w:val="24"/>
        </w:rPr>
        <w:t>В последнем случае копия доверенности (с указанием правомочий на подписание заявки) прикладывается к заявке.</w:t>
      </w:r>
    </w:p>
    <w:bookmarkEnd w:id="70"/>
    <w:p>
      <w:pPr>
        <w:pStyle w:val="366"/>
        <w:widowControl w:val="0"/>
        <w:numPr>
          <w:ilvl w:val="0"/>
          <w:numId w:val="0"/>
        </w:numPr>
        <w:tabs>
          <w:tab w:val="left" w:pos="480"/>
          <w:tab w:val="left" w:pos="720"/>
        </w:tabs>
        <w:spacing w:before="0"/>
        <w:rPr>
          <w:sz w:val="24"/>
          <w:szCs w:val="24"/>
        </w:rPr>
      </w:pPr>
      <w:r>
        <w:rPr>
          <w:sz w:val="24"/>
          <w:szCs w:val="24"/>
        </w:rPr>
        <w:t xml:space="preserve">в) </w:t>
      </w:r>
      <w:bookmarkStart w:id="71" w:name="_Hlk54955573"/>
      <w:r>
        <w:rPr>
          <w:sz w:val="24"/>
          <w:szCs w:val="24"/>
        </w:rPr>
        <w:t xml:space="preserve">Электронная копия заявки должна быть </w:t>
      </w:r>
      <w:bookmarkEnd w:id="71"/>
      <w:r>
        <w:rPr>
          <w:sz w:val="24"/>
          <w:szCs w:val="24"/>
        </w:rPr>
        <w:t>представлена на одном или нескольких электронных носителях (</w:t>
      </w:r>
      <w:r>
        <w:rPr>
          <w:sz w:val="24"/>
          <w:szCs w:val="24"/>
          <w:lang w:val="en-US"/>
        </w:rPr>
        <w:t>Flash</w:t>
      </w:r>
      <w:r>
        <w:rPr>
          <w:sz w:val="24"/>
          <w:szCs w:val="24"/>
        </w:rPr>
        <w:t xml:space="preserve"> USB, CD или DVD). В состав электронной копии заявки должны входить все документы, составляющие заявку.</w:t>
      </w:r>
    </w:p>
    <w:bookmarkEnd w:id="68"/>
    <w:p>
      <w:pPr>
        <w:pStyle w:val="366"/>
        <w:widowControl w:val="0"/>
        <w:numPr>
          <w:ilvl w:val="0"/>
          <w:numId w:val="0"/>
        </w:numPr>
        <w:tabs>
          <w:tab w:val="left" w:pos="480"/>
          <w:tab w:val="left" w:pos="720"/>
        </w:tabs>
        <w:spacing w:before="0"/>
        <w:rPr>
          <w:sz w:val="24"/>
          <w:szCs w:val="24"/>
        </w:rPr>
      </w:pPr>
      <w:bookmarkStart w:id="72" w:name="_Ref197149499"/>
      <w:bookmarkStart w:id="73" w:name="_Ref56220439"/>
      <w:r>
        <w:rPr>
          <w:sz w:val="24"/>
          <w:szCs w:val="24"/>
        </w:rPr>
        <w:t xml:space="preserve">г) Входящие в состав заявки копии документов, </w:t>
      </w:r>
      <w:bookmarkEnd w:id="72"/>
      <w:r>
        <w:rPr>
          <w:sz w:val="24"/>
          <w:szCs w:val="24"/>
        </w:rPr>
        <w:t>должны быть пронумерованы все без исключения.</w:t>
      </w:r>
    </w:p>
    <w:p>
      <w:pPr>
        <w:pStyle w:val="366"/>
        <w:widowControl w:val="0"/>
        <w:numPr>
          <w:ilvl w:val="0"/>
          <w:numId w:val="0"/>
        </w:numPr>
        <w:tabs>
          <w:tab w:val="left" w:pos="480"/>
          <w:tab w:val="left" w:pos="720"/>
        </w:tabs>
        <w:spacing w:before="0"/>
        <w:rPr>
          <w:sz w:val="24"/>
          <w:szCs w:val="24"/>
        </w:rPr>
      </w:pPr>
      <w:r>
        <w:rPr>
          <w:sz w:val="24"/>
          <w:szCs w:val="24"/>
        </w:rPr>
        <w:t>д) Документы, входящие в заявку, должны быть надежно скреплены или упакованы таким образом, чтобы исключить случайное выпадение или перемещение страниц.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bookmarkEnd w:id="73"/>
    <w:p>
      <w:pPr>
        <w:numPr>
          <w:ilvl w:val="3"/>
          <w:numId w:val="10"/>
        </w:numPr>
        <w:tabs>
          <w:tab w:val="left" w:pos="480"/>
          <w:tab w:val="left" w:pos="720"/>
          <w:tab w:val="left" w:pos="960"/>
          <w:tab w:val="clear" w:pos="850"/>
        </w:tabs>
        <w:ind w:left="0" w:firstLine="0"/>
        <w:jc w:val="both"/>
        <w:rPr>
          <w:sz w:val="24"/>
          <w:szCs w:val="24"/>
        </w:rPr>
      </w:pPr>
      <w:r>
        <w:rPr>
          <w:sz w:val="24"/>
          <w:szCs w:val="24"/>
        </w:rPr>
        <w:t>В случае выявления несоответствий заявки вышеуказанным требованиям, Заказчик оставляет за собой право отклонить заявку Участника.</w:t>
      </w:r>
      <w:bookmarkStart w:id="74" w:name="_Toc115776290"/>
      <w:bookmarkStart w:id="75" w:name="_Ref268009165"/>
      <w:bookmarkStart w:id="76" w:name="_Ref115076752"/>
      <w:bookmarkStart w:id="77" w:name="_Toc170292262"/>
      <w:bookmarkStart w:id="78" w:name="_Toc210452293"/>
      <w:bookmarkStart w:id="79" w:name="_Toc167271596"/>
    </w:p>
    <w:bookmarkEnd w:id="74"/>
    <w:bookmarkEnd w:id="75"/>
    <w:bookmarkEnd w:id="76"/>
    <w:bookmarkEnd w:id="77"/>
    <w:bookmarkEnd w:id="78"/>
    <w:bookmarkEnd w:id="79"/>
    <w:p>
      <w:pPr>
        <w:pStyle w:val="368"/>
        <w:numPr>
          <w:ilvl w:val="2"/>
          <w:numId w:val="10"/>
        </w:numPr>
        <w:tabs>
          <w:tab w:val="left" w:pos="960"/>
          <w:tab w:val="clear" w:pos="709"/>
        </w:tabs>
        <w:spacing w:before="120" w:after="0"/>
        <w:ind w:left="0" w:firstLine="0"/>
        <w:jc w:val="both"/>
        <w:rPr>
          <w:sz w:val="24"/>
          <w:szCs w:val="24"/>
        </w:rPr>
      </w:pPr>
      <w:bookmarkStart w:id="80" w:name="_Toc453146031"/>
      <w:bookmarkEnd w:id="80"/>
      <w:bookmarkStart w:id="81" w:name="_Toc452451015"/>
      <w:bookmarkEnd w:id="81"/>
      <w:bookmarkStart w:id="82" w:name="_Toc57314647"/>
      <w:bookmarkStart w:id="83" w:name="_Ref324342156"/>
      <w:bookmarkStart w:id="84" w:name="_Toc123123772"/>
      <w:r>
        <w:rPr>
          <w:sz w:val="24"/>
          <w:szCs w:val="24"/>
        </w:rPr>
        <w:t>Требования к языку заявки</w:t>
      </w:r>
      <w:bookmarkEnd w:id="82"/>
      <w:bookmarkEnd w:id="83"/>
      <w:bookmarkEnd w:id="84"/>
      <w:r>
        <w:rPr>
          <w:sz w:val="24"/>
          <w:szCs w:val="24"/>
        </w:rPr>
        <w:t>.</w:t>
      </w:r>
    </w:p>
    <w:p>
      <w:pPr>
        <w:numPr>
          <w:ilvl w:val="3"/>
          <w:numId w:val="10"/>
        </w:numPr>
        <w:tabs>
          <w:tab w:val="left" w:pos="960"/>
          <w:tab w:val="clear" w:pos="850"/>
        </w:tabs>
        <w:ind w:left="0" w:firstLine="0"/>
        <w:jc w:val="both"/>
        <w:rPr>
          <w:sz w:val="24"/>
          <w:szCs w:val="24"/>
        </w:rPr>
      </w:pPr>
      <w:bookmarkStart w:id="85" w:name="_Toc57314648"/>
      <w:r>
        <w:rPr>
          <w:sz w:val="24"/>
          <w:szCs w:val="24"/>
        </w:rPr>
        <w:t>Все документы, входящие в состав заявки участника на участие в Отборе должны быть составлены на русском языке. Подача документов, входящих в состав заявки участника 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 Заказчик вправе не рассматривать документы, не переведенные на русский язык.</w:t>
      </w:r>
      <w:bookmarkStart w:id="86" w:name="_Hlt40850038"/>
      <w:bookmarkEnd w:id="86"/>
    </w:p>
    <w:bookmarkEnd w:id="85"/>
    <w:p>
      <w:pPr>
        <w:numPr>
          <w:ilvl w:val="1"/>
          <w:numId w:val="10"/>
        </w:numPr>
        <w:spacing w:before="120"/>
        <w:ind w:left="0" w:firstLine="0"/>
        <w:jc w:val="both"/>
        <w:rPr>
          <w:b/>
          <w:bCs/>
          <w:sz w:val="24"/>
          <w:szCs w:val="24"/>
        </w:rPr>
      </w:pPr>
      <w:bookmarkStart w:id="87" w:name="_Ref514649217"/>
      <w:bookmarkStart w:id="88" w:name="_Toc123123777"/>
      <w:bookmarkStart w:id="89" w:name="_Ref30124"/>
      <w:r>
        <w:rPr>
          <w:b/>
          <w:bCs/>
          <w:sz w:val="24"/>
          <w:szCs w:val="24"/>
        </w:rPr>
        <w:t>Подача заявок и их прием</w:t>
      </w:r>
      <w:bookmarkEnd w:id="87"/>
      <w:bookmarkEnd w:id="88"/>
      <w:r>
        <w:rPr>
          <w:b/>
          <w:bCs/>
          <w:sz w:val="24"/>
          <w:szCs w:val="24"/>
        </w:rPr>
        <w:t>.</w:t>
      </w:r>
      <w:bookmarkEnd w:id="89"/>
    </w:p>
    <w:p>
      <w:pPr>
        <w:numPr>
          <w:ilvl w:val="2"/>
          <w:numId w:val="10"/>
        </w:numPr>
        <w:spacing w:after="60"/>
        <w:ind w:left="0" w:firstLine="0"/>
        <w:jc w:val="both"/>
        <w:rPr>
          <w:b/>
          <w:bCs/>
          <w:sz w:val="24"/>
          <w:szCs w:val="24"/>
        </w:rPr>
      </w:pPr>
      <w:bookmarkStart w:id="90" w:name="_Toc123123778"/>
      <w:r>
        <w:rPr>
          <w:b/>
          <w:bCs/>
          <w:sz w:val="24"/>
          <w:szCs w:val="24"/>
        </w:rPr>
        <w:t>Общие требования</w:t>
      </w:r>
      <w:bookmarkEnd w:id="90"/>
    </w:p>
    <w:p>
      <w:pPr>
        <w:numPr>
          <w:ilvl w:val="3"/>
          <w:numId w:val="10"/>
        </w:numPr>
        <w:tabs>
          <w:tab w:val="left" w:pos="720"/>
          <w:tab w:val="left" w:pos="960"/>
          <w:tab w:val="clear" w:pos="850"/>
        </w:tabs>
        <w:ind w:left="0" w:firstLine="0"/>
        <w:jc w:val="both"/>
        <w:rPr>
          <w:sz w:val="24"/>
          <w:szCs w:val="24"/>
        </w:rPr>
      </w:pPr>
      <w:r>
        <w:rPr>
          <w:sz w:val="24"/>
          <w:szCs w:val="24"/>
        </w:rPr>
        <w:t xml:space="preserve">Участник вправе подать заявку на участие в закупке в любое время начиная с даты указанного в пункте </w:t>
      </w:r>
      <w:r>
        <w:rPr>
          <w:sz w:val="24"/>
          <w:szCs w:val="24"/>
        </w:rPr>
        <w:fldChar w:fldCharType="begin"/>
      </w:r>
      <w:r>
        <w:rPr>
          <w:sz w:val="24"/>
          <w:szCs w:val="24"/>
        </w:rPr>
        <w:instrText xml:space="preserve"> REF _Ref2430 \n \h </w:instrText>
      </w:r>
      <w:r>
        <w:rPr>
          <w:sz w:val="24"/>
          <w:szCs w:val="24"/>
        </w:rPr>
        <w:fldChar w:fldCharType="separate"/>
      </w:r>
      <w:r>
        <w:rPr>
          <w:sz w:val="24"/>
          <w:szCs w:val="24"/>
        </w:rPr>
        <w:t>4.2.11</w:t>
      </w:r>
      <w:r>
        <w:rPr>
          <w:sz w:val="24"/>
          <w:szCs w:val="24"/>
        </w:rPr>
        <w:fldChar w:fldCharType="end"/>
      </w:r>
      <w:r>
        <w:rPr>
          <w:sz w:val="24"/>
          <w:szCs w:val="24"/>
        </w:rPr>
        <w:t xml:space="preserve"> и до окончания срока подачи заявок, указанного в пункте </w:t>
      </w:r>
      <w:r>
        <w:rPr>
          <w:sz w:val="24"/>
          <w:szCs w:val="24"/>
        </w:rPr>
        <w:fldChar w:fldCharType="begin"/>
      </w:r>
      <w:r>
        <w:rPr>
          <w:sz w:val="24"/>
          <w:szCs w:val="24"/>
        </w:rPr>
        <w:instrText xml:space="preserve"> REF _Ref2430 \n \h </w:instrText>
      </w:r>
      <w:r>
        <w:rPr>
          <w:sz w:val="24"/>
          <w:szCs w:val="24"/>
        </w:rPr>
        <w:fldChar w:fldCharType="separate"/>
      </w:r>
      <w:r>
        <w:rPr>
          <w:sz w:val="24"/>
          <w:szCs w:val="24"/>
        </w:rPr>
        <w:t>4.2.11</w:t>
      </w:r>
      <w:r>
        <w:rPr>
          <w:sz w:val="24"/>
          <w:szCs w:val="24"/>
        </w:rPr>
        <w:fldChar w:fldCharType="end"/>
      </w:r>
      <w:r>
        <w:rPr>
          <w:sz w:val="24"/>
          <w:szCs w:val="24"/>
        </w:rPr>
        <w:t xml:space="preserve">. Если Участник представил свою заявку с опозданием, она не рассматривается и не возвращается подавшему ее Участнику. </w:t>
      </w:r>
    </w:p>
    <w:p>
      <w:pPr>
        <w:numPr>
          <w:ilvl w:val="3"/>
          <w:numId w:val="10"/>
        </w:numPr>
        <w:tabs>
          <w:tab w:val="left" w:pos="720"/>
          <w:tab w:val="left" w:pos="960"/>
          <w:tab w:val="clear" w:pos="850"/>
        </w:tabs>
        <w:ind w:left="0" w:firstLine="0"/>
        <w:jc w:val="both"/>
        <w:rPr>
          <w:sz w:val="24"/>
          <w:szCs w:val="24"/>
        </w:rPr>
      </w:pPr>
      <w:r>
        <w:rPr>
          <w:sz w:val="24"/>
          <w:szCs w:val="24"/>
        </w:rPr>
        <w:t xml:space="preserve"> Подача Участником заявки означает его безоговорочное согласие с условиями участия в Отборе, содержащимися в Документации об отборе, а также изучение им Документацию об отборе (включая все приложения к ней).</w:t>
      </w:r>
    </w:p>
    <w:p>
      <w:pPr>
        <w:numPr>
          <w:ilvl w:val="2"/>
          <w:numId w:val="10"/>
        </w:numPr>
        <w:tabs>
          <w:tab w:val="left" w:pos="720"/>
          <w:tab w:val="left" w:pos="960"/>
          <w:tab w:val="clear" w:pos="709"/>
        </w:tabs>
        <w:spacing w:before="120" w:after="60"/>
        <w:ind w:left="0" w:firstLine="0"/>
        <w:jc w:val="both"/>
        <w:rPr>
          <w:b/>
          <w:bCs/>
          <w:sz w:val="24"/>
          <w:szCs w:val="24"/>
        </w:rPr>
      </w:pPr>
      <w:bookmarkStart w:id="91" w:name="_Toc123123779"/>
      <w:bookmarkStart w:id="92" w:name="_Ref268012040"/>
      <w:bookmarkStart w:id="93" w:name="_Toc115776303"/>
      <w:bookmarkStart w:id="94" w:name="_Toc170292276"/>
      <w:bookmarkStart w:id="95" w:name="_Ref56229451"/>
      <w:bookmarkStart w:id="96" w:name="_Toc210452306"/>
      <w:bookmarkStart w:id="97" w:name="_Toc329344073"/>
      <w:r>
        <w:rPr>
          <w:b/>
          <w:bCs/>
          <w:sz w:val="24"/>
          <w:szCs w:val="24"/>
        </w:rPr>
        <w:t>Особенности подачи заявок при проведении Отбора с использованием ЭТП</w:t>
      </w:r>
      <w:bookmarkEnd w:id="91"/>
    </w:p>
    <w:p>
      <w:pPr>
        <w:numPr>
          <w:ilvl w:val="3"/>
          <w:numId w:val="10"/>
        </w:numPr>
        <w:tabs>
          <w:tab w:val="left" w:pos="720"/>
          <w:tab w:val="left" w:pos="960"/>
          <w:tab w:val="clear" w:pos="850"/>
        </w:tabs>
        <w:ind w:left="0" w:firstLine="0"/>
        <w:jc w:val="both"/>
        <w:rPr>
          <w:sz w:val="24"/>
          <w:szCs w:val="24"/>
        </w:rPr>
      </w:pPr>
      <w:r>
        <w:rPr>
          <w:sz w:val="24"/>
          <w:szCs w:val="24"/>
        </w:rPr>
        <w:t xml:space="preserve">Заявка должна быть подана Участником посредством функционала ЭТП в отсканированном виде в доступном для прочтения формате. </w:t>
      </w:r>
    </w:p>
    <w:p>
      <w:pPr>
        <w:numPr>
          <w:ilvl w:val="3"/>
          <w:numId w:val="10"/>
        </w:numPr>
        <w:tabs>
          <w:tab w:val="left" w:pos="720"/>
          <w:tab w:val="left" w:pos="960"/>
          <w:tab w:val="clear" w:pos="850"/>
        </w:tabs>
        <w:ind w:left="0" w:firstLine="0"/>
        <w:jc w:val="both"/>
        <w:rPr>
          <w:sz w:val="24"/>
          <w:szCs w:val="24"/>
        </w:rPr>
      </w:pPr>
      <w:r>
        <w:rPr>
          <w:sz w:val="24"/>
          <w:szCs w:val="24"/>
        </w:rPr>
        <w:t xml:space="preserve">Правила подачи заявок определяются Регламентом ЭТП. Заявки, полученные Заказчиком не через ЭТП, не рассматриваются. </w:t>
      </w:r>
    </w:p>
    <w:p>
      <w:pPr>
        <w:numPr>
          <w:ilvl w:val="2"/>
          <w:numId w:val="10"/>
        </w:numPr>
        <w:tabs>
          <w:tab w:val="left" w:pos="720"/>
          <w:tab w:val="left" w:pos="960"/>
          <w:tab w:val="clear" w:pos="709"/>
        </w:tabs>
        <w:spacing w:before="120" w:after="60"/>
        <w:ind w:left="0" w:firstLine="0"/>
        <w:jc w:val="both"/>
        <w:rPr>
          <w:b/>
          <w:bCs/>
          <w:sz w:val="24"/>
          <w:szCs w:val="24"/>
        </w:rPr>
      </w:pPr>
      <w:bookmarkStart w:id="98" w:name="_Toc123123780"/>
      <w:r>
        <w:rPr>
          <w:b/>
          <w:bCs/>
          <w:sz w:val="24"/>
          <w:szCs w:val="24"/>
        </w:rPr>
        <w:t>Особенности подачи заявок при проведении Отбора в бумажной форме</w:t>
      </w:r>
      <w:bookmarkEnd w:id="98"/>
    </w:p>
    <w:p>
      <w:pPr>
        <w:numPr>
          <w:ilvl w:val="3"/>
          <w:numId w:val="10"/>
        </w:numPr>
        <w:tabs>
          <w:tab w:val="left" w:pos="720"/>
          <w:tab w:val="left" w:pos="960"/>
          <w:tab w:val="clear" w:pos="850"/>
        </w:tabs>
        <w:ind w:left="0" w:firstLine="0"/>
        <w:jc w:val="both"/>
        <w:rPr>
          <w:sz w:val="24"/>
          <w:szCs w:val="24"/>
        </w:rPr>
      </w:pPr>
      <w:r>
        <w:rPr>
          <w:sz w:val="24"/>
          <w:szCs w:val="24"/>
        </w:rPr>
        <w:t xml:space="preserve">Подача и прием заявок производится в печатном виде (на бумажном носителе) по адресу Заказчика, указанному в пункте </w:t>
      </w:r>
      <w:r>
        <w:rPr>
          <w:sz w:val="24"/>
          <w:szCs w:val="24"/>
        </w:rPr>
        <w:fldChar w:fldCharType="begin"/>
      </w:r>
      <w:r>
        <w:rPr>
          <w:sz w:val="24"/>
          <w:szCs w:val="24"/>
        </w:rPr>
        <w:instrText xml:space="preserve"> REF _Ref5775 \n \h </w:instrText>
      </w:r>
      <w:r>
        <w:rPr>
          <w:sz w:val="24"/>
          <w:szCs w:val="24"/>
        </w:rPr>
        <w:fldChar w:fldCharType="separate"/>
      </w:r>
      <w:r>
        <w:rPr>
          <w:sz w:val="24"/>
          <w:szCs w:val="24"/>
        </w:rPr>
        <w:t>4.2.1</w:t>
      </w:r>
      <w:r>
        <w:rPr>
          <w:sz w:val="24"/>
          <w:szCs w:val="24"/>
        </w:rPr>
        <w:fldChar w:fldCharType="end"/>
      </w:r>
      <w:r>
        <w:rPr>
          <w:sz w:val="24"/>
          <w:szCs w:val="24"/>
        </w:rPr>
        <w:t xml:space="preserve">. </w:t>
      </w:r>
    </w:p>
    <w:p>
      <w:pPr>
        <w:numPr>
          <w:ilvl w:val="3"/>
          <w:numId w:val="10"/>
        </w:numPr>
        <w:tabs>
          <w:tab w:val="left" w:pos="720"/>
          <w:tab w:val="left" w:pos="960"/>
          <w:tab w:val="clear" w:pos="850"/>
        </w:tabs>
        <w:ind w:left="0" w:firstLine="0"/>
        <w:jc w:val="both"/>
        <w:rPr>
          <w:sz w:val="24"/>
          <w:szCs w:val="24"/>
        </w:rPr>
      </w:pPr>
      <w:bookmarkStart w:id="99" w:name="_Ref514647745"/>
      <w:r>
        <w:rPr>
          <w:sz w:val="24"/>
          <w:szCs w:val="24"/>
        </w:rPr>
        <w:t>Оригинал заявки должны быть поданы в запечатанном конверте (под «конвертом» понимается любая упаковка, надежно закрывающая содержимое: конверт, ящик, мешок и т.д.), оформленном в соответствии с требованиями настоящего подраздела и исключающих возможность ознакомления с их содержимым до окончания сроков подачи заявок.</w:t>
      </w:r>
      <w:bookmarkEnd w:id="99"/>
    </w:p>
    <w:p>
      <w:pPr>
        <w:numPr>
          <w:ilvl w:val="3"/>
          <w:numId w:val="10"/>
        </w:numPr>
        <w:tabs>
          <w:tab w:val="left" w:pos="720"/>
          <w:tab w:val="left" w:pos="960"/>
          <w:tab w:val="clear" w:pos="850"/>
        </w:tabs>
        <w:ind w:left="0" w:firstLine="0"/>
        <w:jc w:val="both"/>
        <w:rPr>
          <w:sz w:val="24"/>
          <w:szCs w:val="24"/>
        </w:rPr>
      </w:pPr>
      <w:bookmarkStart w:id="100" w:name="_Ref56226704"/>
      <w:bookmarkStart w:id="101" w:name="_Ref389745799"/>
      <w:r>
        <w:rPr>
          <w:sz w:val="24"/>
          <w:szCs w:val="24"/>
        </w:rPr>
        <w:t>На внешнем конверте с заявкой указывается следующая информация:</w:t>
      </w:r>
      <w:bookmarkEnd w:id="100"/>
      <w:bookmarkEnd w:id="101"/>
    </w:p>
    <w:p>
      <w:pPr>
        <w:tabs>
          <w:tab w:val="left" w:pos="720"/>
          <w:tab w:val="left" w:pos="960"/>
        </w:tabs>
        <w:jc w:val="both"/>
        <w:rPr>
          <w:sz w:val="24"/>
          <w:szCs w:val="24"/>
        </w:rPr>
      </w:pPr>
      <w:r>
        <w:rPr>
          <w:sz w:val="24"/>
          <w:szCs w:val="24"/>
        </w:rPr>
        <w:t xml:space="preserve">а) наименование Заказчика в соответствии с пунктом </w:t>
      </w:r>
      <w:r>
        <w:rPr>
          <w:sz w:val="24"/>
          <w:szCs w:val="24"/>
        </w:rPr>
        <w:fldChar w:fldCharType="begin"/>
      </w:r>
      <w:r>
        <w:rPr>
          <w:sz w:val="24"/>
          <w:szCs w:val="24"/>
        </w:rPr>
        <w:instrText xml:space="preserve"> REF _Ref5775 \n \h </w:instrText>
      </w:r>
      <w:r>
        <w:rPr>
          <w:sz w:val="24"/>
          <w:szCs w:val="24"/>
        </w:rPr>
        <w:fldChar w:fldCharType="separate"/>
      </w:r>
      <w:r>
        <w:rPr>
          <w:sz w:val="24"/>
          <w:szCs w:val="24"/>
        </w:rPr>
        <w:t>4.2.1</w:t>
      </w:r>
      <w:r>
        <w:rPr>
          <w:sz w:val="24"/>
          <w:szCs w:val="24"/>
        </w:rPr>
        <w:fldChar w:fldCharType="end"/>
      </w:r>
      <w:r>
        <w:rPr>
          <w:sz w:val="24"/>
          <w:szCs w:val="24"/>
        </w:rPr>
        <w:t>;</w:t>
      </w:r>
    </w:p>
    <w:p>
      <w:pPr>
        <w:tabs>
          <w:tab w:val="left" w:pos="720"/>
          <w:tab w:val="left" w:pos="960"/>
        </w:tabs>
        <w:jc w:val="both"/>
        <w:rPr>
          <w:sz w:val="24"/>
          <w:szCs w:val="24"/>
        </w:rPr>
      </w:pPr>
      <w:r>
        <w:rPr>
          <w:sz w:val="24"/>
          <w:szCs w:val="24"/>
        </w:rPr>
        <w:t xml:space="preserve">б) место подачи заявки в соответствии с пунктом </w:t>
      </w:r>
      <w:r>
        <w:rPr>
          <w:sz w:val="24"/>
          <w:szCs w:val="24"/>
        </w:rPr>
        <w:fldChar w:fldCharType="begin"/>
      </w:r>
      <w:r>
        <w:rPr>
          <w:sz w:val="24"/>
          <w:szCs w:val="24"/>
        </w:rPr>
        <w:instrText xml:space="preserve"> REF _Ref5775 \n \h </w:instrText>
      </w:r>
      <w:r>
        <w:rPr>
          <w:sz w:val="24"/>
          <w:szCs w:val="24"/>
        </w:rPr>
        <w:fldChar w:fldCharType="separate"/>
      </w:r>
      <w:r>
        <w:rPr>
          <w:sz w:val="24"/>
          <w:szCs w:val="24"/>
        </w:rPr>
        <w:t>4.2.1</w:t>
      </w:r>
      <w:r>
        <w:rPr>
          <w:sz w:val="24"/>
          <w:szCs w:val="24"/>
        </w:rPr>
        <w:fldChar w:fldCharType="end"/>
      </w:r>
      <w:r>
        <w:rPr>
          <w:sz w:val="24"/>
          <w:szCs w:val="24"/>
        </w:rPr>
        <w:t>;</w:t>
      </w:r>
    </w:p>
    <w:p>
      <w:pPr>
        <w:tabs>
          <w:tab w:val="left" w:pos="720"/>
          <w:tab w:val="left" w:pos="960"/>
        </w:tabs>
        <w:jc w:val="both"/>
        <w:rPr>
          <w:sz w:val="24"/>
          <w:szCs w:val="24"/>
        </w:rPr>
      </w:pPr>
      <w:r>
        <w:rPr>
          <w:sz w:val="24"/>
          <w:szCs w:val="24"/>
        </w:rPr>
        <w:t xml:space="preserve">г) слова «Не вскрывать до [указывается дата и время окончания срока подачи заявок в соответствии с пунктом </w:t>
      </w:r>
      <w:r>
        <w:rPr>
          <w:sz w:val="24"/>
          <w:szCs w:val="24"/>
        </w:rPr>
        <w:fldChar w:fldCharType="begin"/>
      </w:r>
      <w:r>
        <w:rPr>
          <w:sz w:val="24"/>
          <w:szCs w:val="24"/>
        </w:rPr>
        <w:instrText xml:space="preserve"> REF _Ref2430 \n \h </w:instrText>
      </w:r>
      <w:r>
        <w:rPr>
          <w:sz w:val="24"/>
          <w:szCs w:val="24"/>
        </w:rPr>
        <w:fldChar w:fldCharType="separate"/>
      </w:r>
      <w:r>
        <w:rPr>
          <w:sz w:val="24"/>
          <w:szCs w:val="24"/>
        </w:rPr>
        <w:t>4.2.11</w:t>
      </w:r>
      <w:r>
        <w:rPr>
          <w:sz w:val="24"/>
          <w:szCs w:val="24"/>
        </w:rPr>
        <w:fldChar w:fldCharType="end"/>
      </w:r>
      <w:r>
        <w:rPr>
          <w:sz w:val="24"/>
          <w:szCs w:val="24"/>
        </w:rPr>
        <w:t>]».</w:t>
      </w:r>
    </w:p>
    <w:p>
      <w:pPr>
        <w:numPr>
          <w:ilvl w:val="3"/>
          <w:numId w:val="10"/>
        </w:numPr>
        <w:tabs>
          <w:tab w:val="left" w:pos="720"/>
          <w:tab w:val="left" w:pos="960"/>
          <w:tab w:val="clear" w:pos="850"/>
        </w:tabs>
        <w:ind w:left="0" w:firstLine="0"/>
        <w:jc w:val="both"/>
        <w:rPr>
          <w:sz w:val="24"/>
          <w:szCs w:val="24"/>
        </w:rPr>
      </w:pPr>
      <w:bookmarkStart w:id="102" w:name="_Ref513815066"/>
      <w:bookmarkStart w:id="103" w:name="_Ref56221287"/>
      <w:r>
        <w:rPr>
          <w:sz w:val="24"/>
          <w:szCs w:val="24"/>
        </w:rPr>
        <w:t xml:space="preserve">Участникам рекомендуется предварительно (не менее чем за один рабочий день) связаться с представителем Заказчиком, указанным в пункте </w:t>
      </w:r>
      <w:r>
        <w:rPr>
          <w:sz w:val="24"/>
          <w:szCs w:val="24"/>
        </w:rPr>
        <w:fldChar w:fldCharType="begin"/>
      </w:r>
      <w:r>
        <w:rPr>
          <w:sz w:val="24"/>
          <w:szCs w:val="24"/>
        </w:rPr>
        <w:instrText xml:space="preserve"> REF _Ref5775 \n \h </w:instrText>
      </w:r>
      <w:r>
        <w:rPr>
          <w:sz w:val="24"/>
          <w:szCs w:val="24"/>
        </w:rPr>
        <w:fldChar w:fldCharType="separate"/>
      </w:r>
      <w:r>
        <w:rPr>
          <w:sz w:val="24"/>
          <w:szCs w:val="24"/>
        </w:rPr>
        <w:t>4.2.1</w:t>
      </w:r>
      <w:r>
        <w:rPr>
          <w:sz w:val="24"/>
          <w:szCs w:val="24"/>
        </w:rPr>
        <w:fldChar w:fldCharType="end"/>
      </w:r>
      <w:r>
        <w:rPr>
          <w:sz w:val="24"/>
          <w:szCs w:val="24"/>
        </w:rPr>
        <w:t>, направив письмо по электронной почте с указанием предполагаемого времени подачи заявки. Заявка подается в рабочее время, пн.-чт. — с 9:30 до 17:00 по местному времени Заказчика. В случае направления заявки через курьерскую службу рекомендуется уведомить курьера о настоящем порядке доставки заявки.</w:t>
      </w:r>
      <w:bookmarkEnd w:id="102"/>
    </w:p>
    <w:p>
      <w:pPr>
        <w:numPr>
          <w:ilvl w:val="3"/>
          <w:numId w:val="10"/>
        </w:numPr>
        <w:tabs>
          <w:tab w:val="left" w:pos="720"/>
          <w:tab w:val="left" w:pos="960"/>
          <w:tab w:val="clear" w:pos="850"/>
        </w:tabs>
        <w:ind w:left="0" w:firstLine="0"/>
        <w:jc w:val="both"/>
        <w:rPr>
          <w:sz w:val="24"/>
          <w:szCs w:val="24"/>
        </w:rPr>
      </w:pPr>
      <w:r>
        <w:rPr>
          <w:sz w:val="24"/>
          <w:szCs w:val="24"/>
        </w:rPr>
        <w:t>Каждый конверт с заявкой, поступивший в установленный срок, регистрируется Заказчиком в журнале регистрации поступивших конвертов с заявками, с указанием даты и времени поступления. Отказ в приеме и регистрации конверта с заявкой, а также предъявление со стороны Заказчика требований указать или предоставить сведения об Участнике, от имени которого подается заявка, не допускаются.</w:t>
      </w:r>
    </w:p>
    <w:bookmarkEnd w:id="103"/>
    <w:p>
      <w:pPr>
        <w:numPr>
          <w:ilvl w:val="3"/>
          <w:numId w:val="10"/>
        </w:numPr>
        <w:tabs>
          <w:tab w:val="left" w:pos="720"/>
          <w:tab w:val="left" w:pos="960"/>
          <w:tab w:val="clear" w:pos="850"/>
        </w:tabs>
        <w:ind w:left="0" w:firstLine="0"/>
        <w:jc w:val="both"/>
        <w:rPr>
          <w:sz w:val="24"/>
          <w:szCs w:val="24"/>
        </w:rPr>
      </w:pPr>
      <w:r>
        <w:rPr>
          <w:sz w:val="24"/>
          <w:szCs w:val="24"/>
        </w:rPr>
        <w:t xml:space="preserve">По запросу лица, доставившего конверт с заявкой, Заказчик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подпунктах </w:t>
      </w:r>
      <w:r>
        <w:rPr>
          <w:sz w:val="24"/>
          <w:szCs w:val="24"/>
        </w:rPr>
        <w:fldChar w:fldCharType="begin"/>
      </w:r>
      <w:r>
        <w:rPr>
          <w:sz w:val="24"/>
          <w:szCs w:val="24"/>
        </w:rPr>
        <w:instrText xml:space="preserve"> REF _Ref514647745 \n \h </w:instrText>
      </w:r>
      <w:r>
        <w:rPr>
          <w:sz w:val="24"/>
          <w:szCs w:val="24"/>
        </w:rPr>
        <w:fldChar w:fldCharType="separate"/>
      </w:r>
      <w:r>
        <w:rPr>
          <w:sz w:val="24"/>
          <w:szCs w:val="24"/>
        </w:rPr>
        <w:t>3.5.3.2</w:t>
      </w:r>
      <w:r>
        <w:rPr>
          <w:sz w:val="24"/>
          <w:szCs w:val="24"/>
        </w:rPr>
        <w:fldChar w:fldCharType="end"/>
      </w:r>
      <w:r>
        <w:rPr>
          <w:sz w:val="24"/>
          <w:szCs w:val="24"/>
        </w:rPr>
        <w:t xml:space="preserve"> – </w:t>
      </w:r>
      <w:r>
        <w:rPr>
          <w:sz w:val="24"/>
          <w:szCs w:val="24"/>
        </w:rPr>
        <w:fldChar w:fldCharType="begin"/>
      </w:r>
      <w:r>
        <w:rPr>
          <w:sz w:val="24"/>
          <w:szCs w:val="24"/>
        </w:rPr>
        <w:instrText xml:space="preserve"> REF _Ref56226704 \n \h </w:instrText>
      </w:r>
      <w:r>
        <w:rPr>
          <w:sz w:val="24"/>
          <w:szCs w:val="24"/>
        </w:rPr>
        <w:fldChar w:fldCharType="separate"/>
      </w:r>
      <w:r>
        <w:rPr>
          <w:sz w:val="24"/>
          <w:szCs w:val="24"/>
        </w:rPr>
        <w:t>3.5.3.3</w:t>
      </w:r>
      <w:r>
        <w:rPr>
          <w:sz w:val="24"/>
          <w:szCs w:val="24"/>
        </w:rPr>
        <w:fldChar w:fldCharType="end"/>
      </w:r>
      <w:r>
        <w:rPr>
          <w:sz w:val="24"/>
          <w:szCs w:val="24"/>
        </w:rPr>
        <w:t>), в расписке делается соответствующая пометка.</w:t>
      </w:r>
    </w:p>
    <w:bookmarkEnd w:id="92"/>
    <w:bookmarkEnd w:id="93"/>
    <w:bookmarkEnd w:id="94"/>
    <w:bookmarkEnd w:id="95"/>
    <w:bookmarkEnd w:id="96"/>
    <w:bookmarkEnd w:id="97"/>
    <w:p>
      <w:pPr>
        <w:numPr>
          <w:ilvl w:val="2"/>
          <w:numId w:val="10"/>
        </w:numPr>
        <w:tabs>
          <w:tab w:val="left" w:pos="720"/>
          <w:tab w:val="left" w:pos="960"/>
          <w:tab w:val="clear" w:pos="709"/>
        </w:tabs>
        <w:spacing w:before="120" w:after="60"/>
        <w:ind w:left="0" w:firstLine="0"/>
        <w:jc w:val="both"/>
        <w:rPr>
          <w:b/>
          <w:bCs/>
          <w:sz w:val="24"/>
          <w:szCs w:val="24"/>
        </w:rPr>
      </w:pPr>
      <w:bookmarkStart w:id="104" w:name="_Toc452451041"/>
      <w:bookmarkEnd w:id="104"/>
      <w:bookmarkStart w:id="105" w:name="_Toc453146057"/>
      <w:bookmarkEnd w:id="105"/>
      <w:bookmarkStart w:id="106" w:name="_Toc453230001"/>
      <w:bookmarkEnd w:id="106"/>
      <w:bookmarkStart w:id="107" w:name="_Toc123123781"/>
      <w:bookmarkStart w:id="108" w:name="_Toc69728979"/>
      <w:bookmarkStart w:id="109" w:name="_Ref56251474"/>
      <w:bookmarkStart w:id="110" w:name="_Toc57314665"/>
      <w:r>
        <w:rPr>
          <w:b/>
          <w:bCs/>
          <w:sz w:val="24"/>
          <w:szCs w:val="24"/>
        </w:rPr>
        <w:t>Изменение и отзыв заявок</w:t>
      </w:r>
      <w:bookmarkEnd w:id="107"/>
      <w:bookmarkEnd w:id="108"/>
      <w:bookmarkEnd w:id="109"/>
      <w:bookmarkEnd w:id="110"/>
    </w:p>
    <w:p>
      <w:pPr>
        <w:numPr>
          <w:ilvl w:val="3"/>
          <w:numId w:val="10"/>
        </w:numPr>
        <w:tabs>
          <w:tab w:val="left" w:pos="720"/>
          <w:tab w:val="left" w:pos="960"/>
          <w:tab w:val="clear" w:pos="850"/>
        </w:tabs>
        <w:ind w:left="0" w:firstLine="0"/>
        <w:jc w:val="both"/>
        <w:rPr>
          <w:sz w:val="24"/>
          <w:szCs w:val="24"/>
        </w:rPr>
      </w:pPr>
      <w:r>
        <w:rPr>
          <w:sz w:val="24"/>
          <w:szCs w:val="24"/>
        </w:rPr>
        <w:t xml:space="preserve">Если Заказчик продлевает срок окончания подачи заявок, то участник Отбора, уже подавший заявку, вправе принять любое из следующих решений: </w:t>
      </w:r>
    </w:p>
    <w:p>
      <w:pPr>
        <w:tabs>
          <w:tab w:val="left" w:pos="720"/>
          <w:tab w:val="left" w:pos="960"/>
        </w:tabs>
        <w:jc w:val="both"/>
        <w:rPr>
          <w:sz w:val="24"/>
          <w:szCs w:val="24"/>
        </w:rPr>
      </w:pPr>
      <w:r>
        <w:rPr>
          <w:sz w:val="24"/>
          <w:szCs w:val="24"/>
        </w:rPr>
        <w:t xml:space="preserve">а) отозвать поданную заявку; </w:t>
      </w:r>
    </w:p>
    <w:p>
      <w:pPr>
        <w:tabs>
          <w:tab w:val="left" w:pos="720"/>
          <w:tab w:val="left" w:pos="960"/>
        </w:tabs>
        <w:jc w:val="both"/>
        <w:rPr>
          <w:sz w:val="24"/>
          <w:szCs w:val="24"/>
        </w:rPr>
      </w:pPr>
      <w:r>
        <w:rPr>
          <w:sz w:val="24"/>
          <w:szCs w:val="24"/>
        </w:rPr>
        <w:t xml:space="preserve">б) не отзывать поданную заявку, продлив при этом срок ее действия на соответствующий период времени и изменив ее (при желании); </w:t>
      </w:r>
    </w:p>
    <w:p>
      <w:pPr>
        <w:tabs>
          <w:tab w:val="left" w:pos="720"/>
          <w:tab w:val="left" w:pos="960"/>
        </w:tabs>
        <w:jc w:val="both"/>
        <w:rPr>
          <w:sz w:val="24"/>
          <w:szCs w:val="24"/>
        </w:rPr>
      </w:pPr>
      <w:r>
        <w:rPr>
          <w:sz w:val="24"/>
          <w:szCs w:val="24"/>
        </w:rPr>
        <w:t xml:space="preserve">в) не отзывать поданную заявку и не изменять срок ее действия, при этом заявка утрачивает свою силу в первоначально установленный в ней срок. </w:t>
      </w:r>
    </w:p>
    <w:p>
      <w:pPr>
        <w:numPr>
          <w:ilvl w:val="3"/>
          <w:numId w:val="10"/>
        </w:numPr>
        <w:tabs>
          <w:tab w:val="left" w:pos="720"/>
          <w:tab w:val="left" w:pos="960"/>
          <w:tab w:val="clear" w:pos="850"/>
        </w:tabs>
        <w:ind w:left="0" w:firstLine="0"/>
        <w:jc w:val="both"/>
        <w:rPr>
          <w:sz w:val="24"/>
          <w:szCs w:val="24"/>
        </w:rPr>
      </w:pPr>
      <w:r>
        <w:rPr>
          <w:sz w:val="24"/>
          <w:szCs w:val="24"/>
        </w:rPr>
        <w:t>Отзыв Участником ранее поданной заявки является отказом от участия в Отборе, отозванные заявки не рассматриваются Заказчиком.</w:t>
      </w:r>
    </w:p>
    <w:p>
      <w:pPr>
        <w:numPr>
          <w:ilvl w:val="3"/>
          <w:numId w:val="10"/>
        </w:numPr>
        <w:tabs>
          <w:tab w:val="left" w:pos="720"/>
          <w:tab w:val="left" w:pos="960"/>
          <w:tab w:val="clear" w:pos="850"/>
        </w:tabs>
        <w:ind w:left="0" w:firstLine="0"/>
        <w:jc w:val="both"/>
        <w:rPr>
          <w:sz w:val="24"/>
          <w:szCs w:val="24"/>
        </w:rPr>
      </w:pPr>
      <w:r>
        <w:rPr>
          <w:sz w:val="24"/>
          <w:szCs w:val="24"/>
        </w:rPr>
        <w:t xml:space="preserve">Изменение и отзыв Участником ранее поданной заявки оформляются в соответствии с требованиями пункта </w:t>
      </w:r>
      <w:r>
        <w:rPr>
          <w:sz w:val="24"/>
          <w:szCs w:val="24"/>
        </w:rPr>
        <w:fldChar w:fldCharType="begin"/>
      </w:r>
      <w:r>
        <w:rPr>
          <w:sz w:val="24"/>
          <w:szCs w:val="24"/>
        </w:rPr>
        <w:instrText xml:space="preserve"> REF _Ref30049 \n \h </w:instrText>
      </w:r>
      <w:r>
        <w:rPr>
          <w:sz w:val="24"/>
          <w:szCs w:val="24"/>
        </w:rPr>
        <w:fldChar w:fldCharType="separate"/>
      </w:r>
      <w:r>
        <w:rPr>
          <w:sz w:val="24"/>
          <w:szCs w:val="24"/>
        </w:rPr>
        <w:t>3.4.1</w:t>
      </w:r>
      <w:r>
        <w:rPr>
          <w:sz w:val="24"/>
          <w:szCs w:val="24"/>
        </w:rPr>
        <w:fldChar w:fldCharType="end"/>
      </w:r>
      <w:r>
        <w:rPr>
          <w:sz w:val="24"/>
          <w:szCs w:val="24"/>
        </w:rPr>
        <w:t xml:space="preserve"> и осуществляется в порядке, аналогичном порядку подачи и приема заявок, установленному в подразделе </w:t>
      </w:r>
      <w:r>
        <w:rPr>
          <w:sz w:val="24"/>
          <w:szCs w:val="24"/>
        </w:rPr>
        <w:fldChar w:fldCharType="begin"/>
      </w:r>
      <w:r>
        <w:rPr>
          <w:sz w:val="24"/>
          <w:szCs w:val="24"/>
        </w:rPr>
        <w:instrText xml:space="preserve"> REF _Ref30124 \n \h </w:instrText>
      </w:r>
      <w:r>
        <w:rPr>
          <w:sz w:val="24"/>
          <w:szCs w:val="24"/>
        </w:rPr>
        <w:fldChar w:fldCharType="separate"/>
      </w:r>
      <w:r>
        <w:rPr>
          <w:sz w:val="24"/>
          <w:szCs w:val="24"/>
        </w:rPr>
        <w:t>3.5</w:t>
      </w:r>
      <w:r>
        <w:rPr>
          <w:sz w:val="24"/>
          <w:szCs w:val="24"/>
        </w:rPr>
        <w:fldChar w:fldCharType="end"/>
      </w:r>
      <w:r>
        <w:rPr>
          <w:sz w:val="24"/>
          <w:szCs w:val="24"/>
        </w:rPr>
        <w:t>.</w:t>
      </w:r>
    </w:p>
    <w:p>
      <w:pPr>
        <w:numPr>
          <w:ilvl w:val="3"/>
          <w:numId w:val="10"/>
        </w:numPr>
        <w:tabs>
          <w:tab w:val="left" w:pos="720"/>
          <w:tab w:val="left" w:pos="960"/>
          <w:tab w:val="clear" w:pos="850"/>
        </w:tabs>
        <w:ind w:left="0" w:firstLine="0"/>
        <w:jc w:val="both"/>
        <w:rPr>
          <w:sz w:val="24"/>
          <w:szCs w:val="24"/>
        </w:rPr>
      </w:pPr>
      <w:r>
        <w:rPr>
          <w:sz w:val="24"/>
          <w:szCs w:val="24"/>
        </w:rPr>
        <w:t>При проведении Отбора с использованием ЭТП изменения и отзыв заявки осуществляется посредством функционала ЭТП, а подробный порядок определяется Регламентом ЭТП.</w:t>
      </w:r>
    </w:p>
    <w:p>
      <w:pPr>
        <w:numPr>
          <w:ilvl w:val="3"/>
          <w:numId w:val="10"/>
        </w:numPr>
        <w:tabs>
          <w:tab w:val="left" w:pos="720"/>
          <w:tab w:val="left" w:pos="960"/>
          <w:tab w:val="clear" w:pos="850"/>
        </w:tabs>
        <w:ind w:left="0" w:firstLine="0"/>
        <w:jc w:val="both"/>
        <w:rPr>
          <w:sz w:val="24"/>
          <w:szCs w:val="24"/>
        </w:rPr>
      </w:pPr>
      <w:r>
        <w:rPr>
          <w:sz w:val="24"/>
          <w:szCs w:val="24"/>
        </w:rPr>
        <w:t>В случае если Отбор проводится в бумажной форме, применяются следующие условия:</w:t>
      </w:r>
    </w:p>
    <w:p>
      <w:pPr>
        <w:numPr>
          <w:ilvl w:val="3"/>
          <w:numId w:val="10"/>
        </w:numPr>
        <w:tabs>
          <w:tab w:val="left" w:pos="720"/>
          <w:tab w:val="left" w:pos="960"/>
          <w:tab w:val="clear" w:pos="850"/>
        </w:tabs>
        <w:ind w:left="0" w:firstLine="0"/>
        <w:jc w:val="both"/>
        <w:rPr>
          <w:sz w:val="24"/>
          <w:szCs w:val="24"/>
        </w:rPr>
      </w:pPr>
      <w:r>
        <w:rPr>
          <w:sz w:val="24"/>
          <w:szCs w:val="24"/>
        </w:rPr>
        <w:t>Для отзыва заявки Участник должен направить Заказчику соответствующее письменное обращение на бланке Участника. При этом ранее полученная заявка возвращается Участнику (за его счет), в случае соответствующего запроса от Участника.</w:t>
      </w:r>
    </w:p>
    <w:p>
      <w:pPr>
        <w:numPr>
          <w:ilvl w:val="3"/>
          <w:numId w:val="10"/>
        </w:numPr>
        <w:tabs>
          <w:tab w:val="left" w:pos="720"/>
          <w:tab w:val="left" w:pos="960"/>
          <w:tab w:val="clear" w:pos="850"/>
        </w:tabs>
        <w:ind w:left="0" w:firstLine="0"/>
        <w:jc w:val="both"/>
        <w:rPr>
          <w:sz w:val="24"/>
          <w:szCs w:val="24"/>
        </w:rPr>
      </w:pPr>
      <w:bookmarkStart w:id="111" w:name="_Ref6656"/>
      <w:r>
        <w:rPr>
          <w:sz w:val="24"/>
          <w:szCs w:val="24"/>
        </w:rPr>
        <w:t>Для изменения заявки Участник должен подготовить следующие документы:</w:t>
      </w:r>
      <w:bookmarkEnd w:id="111"/>
    </w:p>
    <w:p>
      <w:pPr>
        <w:tabs>
          <w:tab w:val="left" w:pos="720"/>
          <w:tab w:val="left" w:pos="960"/>
        </w:tabs>
        <w:ind w:left="400" w:leftChars="200"/>
        <w:jc w:val="both"/>
        <w:rPr>
          <w:sz w:val="24"/>
          <w:szCs w:val="24"/>
        </w:rPr>
      </w:pPr>
      <w:r>
        <w:rPr>
          <w:sz w:val="24"/>
          <w:szCs w:val="24"/>
        </w:rPr>
        <w:t>а) письменное обращение к Заказчику с просьбой об изменении заявки на бланке Участника;</w:t>
      </w:r>
    </w:p>
    <w:p>
      <w:pPr>
        <w:tabs>
          <w:tab w:val="left" w:pos="720"/>
          <w:tab w:val="left" w:pos="960"/>
        </w:tabs>
        <w:ind w:left="400" w:leftChars="200"/>
        <w:jc w:val="both"/>
        <w:rPr>
          <w:sz w:val="24"/>
          <w:szCs w:val="24"/>
        </w:rPr>
      </w:pPr>
      <w:r>
        <w:rPr>
          <w:sz w:val="24"/>
          <w:szCs w:val="24"/>
        </w:rPr>
        <w:t>б) перечень изменений в заявке с указанием документов первоначальной заявки, которых данные изменения касаются;</w:t>
      </w:r>
    </w:p>
    <w:p>
      <w:pPr>
        <w:tabs>
          <w:tab w:val="left" w:pos="720"/>
          <w:tab w:val="left" w:pos="960"/>
        </w:tabs>
        <w:ind w:left="400" w:leftChars="200"/>
        <w:jc w:val="both"/>
        <w:rPr>
          <w:sz w:val="24"/>
          <w:szCs w:val="24"/>
        </w:rPr>
      </w:pPr>
      <w:r>
        <w:rPr>
          <w:sz w:val="24"/>
          <w:szCs w:val="24"/>
        </w:rPr>
        <w:t>в) новые версии документов, которые изменяются;</w:t>
      </w:r>
    </w:p>
    <w:p>
      <w:pPr>
        <w:tabs>
          <w:tab w:val="left" w:pos="720"/>
          <w:tab w:val="left" w:pos="960"/>
        </w:tabs>
        <w:ind w:left="400" w:leftChars="200"/>
        <w:jc w:val="both"/>
        <w:rPr>
          <w:sz w:val="24"/>
          <w:szCs w:val="24"/>
        </w:rPr>
      </w:pPr>
      <w:r>
        <w:rPr>
          <w:sz w:val="24"/>
          <w:szCs w:val="24"/>
        </w:rPr>
        <w:t>г) копии такого обращения и прилагаемых документов в соответствии с требованиями Документации об отборе к количеству и порядку предоставляемых копий.</w:t>
      </w:r>
    </w:p>
    <w:p>
      <w:pPr>
        <w:numPr>
          <w:ilvl w:val="3"/>
          <w:numId w:val="10"/>
        </w:numPr>
        <w:tabs>
          <w:tab w:val="left" w:pos="720"/>
          <w:tab w:val="left" w:pos="960"/>
          <w:tab w:val="clear" w:pos="850"/>
        </w:tabs>
        <w:ind w:left="0" w:firstLine="0"/>
        <w:jc w:val="both"/>
        <w:rPr>
          <w:sz w:val="24"/>
          <w:szCs w:val="24"/>
        </w:rPr>
      </w:pPr>
      <w:r>
        <w:rPr>
          <w:sz w:val="24"/>
          <w:szCs w:val="24"/>
        </w:rPr>
        <w:t>Обращение об изменении или отзыве заявки вместе со всеми приложенными документами и их копиями должно быть запечатано в конверт с нанесением на него маркировки «Изменение заявки» или «Отзыв заявки».</w:t>
      </w:r>
    </w:p>
    <w:p>
      <w:pPr>
        <w:numPr>
          <w:ilvl w:val="1"/>
          <w:numId w:val="10"/>
        </w:numPr>
        <w:spacing w:before="120"/>
        <w:ind w:left="0" w:firstLine="0"/>
        <w:jc w:val="both"/>
        <w:rPr>
          <w:b/>
          <w:bCs/>
          <w:sz w:val="24"/>
          <w:szCs w:val="24"/>
        </w:rPr>
      </w:pPr>
      <w:r>
        <w:rPr>
          <w:b/>
          <w:bCs/>
          <w:sz w:val="24"/>
          <w:szCs w:val="24"/>
        </w:rPr>
        <w:t>Рассмотрение заявок участников и подведения итогов Отбора.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autoSpaceDE w:val="0"/>
        <w:autoSpaceDN w:val="0"/>
        <w:adjustRightInd w:val="0"/>
        <w:ind w:left="0" w:firstLine="0"/>
        <w:jc w:val="both"/>
        <w:rPr>
          <w:rFonts w:eastAsia="Calibri"/>
          <w:sz w:val="24"/>
          <w:szCs w:val="24"/>
          <w:lang w:eastAsia="zh-CN"/>
        </w:rPr>
      </w:pPr>
      <w:r>
        <w:rPr>
          <w:sz w:val="24"/>
          <w:szCs w:val="24"/>
        </w:rPr>
        <w:t>Поступившие от участников Отбора заявки рассматриваются Тендерной комиссией Заказчика.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autoSpaceDE w:val="0"/>
        <w:autoSpaceDN w:val="0"/>
        <w:adjustRightInd w:val="0"/>
        <w:ind w:left="0" w:firstLine="0"/>
        <w:jc w:val="both"/>
        <w:rPr>
          <w:rFonts w:eastAsia="Calibri"/>
          <w:sz w:val="24"/>
          <w:szCs w:val="24"/>
          <w:lang w:eastAsia="zh-CN"/>
        </w:rPr>
      </w:pPr>
      <w:r>
        <w:rPr>
          <w:sz w:val="24"/>
          <w:szCs w:val="24"/>
        </w:rPr>
        <w:t>В случае установления факта подачи одним участником Отбора двух и более заявок на участие в Отборе при условии, что поданные ранее этим участником заявки на участие в Отборе не отозваны, все заявки на участие в Отборе такого участника не рассматриваются.</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Тендерная комиссия рассматривает заявки на соответствие обязательным и квалификационным требованиям, установленными Документацией об отборе и проверяет соответствие участников условиям участия в Отборе.</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При рассмотрении заявок Тендерная комиссия может принять во внимание мнение экспертной группы, которая по поручению Тендерной комиссии может осуществлять экспертизу представленных им заявок.</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В случае соответствия заявки требованиям, установленным документацией об отборе, и соответствия условиям участия в Отборе Тендерная комиссия принимает решение о признании участника квалифицированным поставщиком, что фиксируется в протоколе рассмотрения и подведения итогов Отбора.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 xml:space="preserve">В случае, если заявка участника не соответствует требованиям, установленным в Документации об отборе, и (или) участник не соответствует условиям участия в Отборе, такая заявка отклоняется, а участник, подавший такую заявку, не допускается к участию в Отборе, что фиксируется в протоколе рассмотрения и подведения итогов Отбора. </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autoSpaceDE w:val="0"/>
        <w:autoSpaceDN w:val="0"/>
        <w:adjustRightInd w:val="0"/>
        <w:ind w:left="0" w:firstLine="0"/>
        <w:jc w:val="both"/>
        <w:rPr>
          <w:rFonts w:eastAsia="Calibri"/>
          <w:sz w:val="24"/>
          <w:szCs w:val="24"/>
          <w:lang w:eastAsia="zh-CN"/>
        </w:rPr>
      </w:pPr>
      <w:r>
        <w:rPr>
          <w:rFonts w:eastAsia="Arial Unicode MS"/>
          <w:sz w:val="24"/>
          <w:szCs w:val="24"/>
          <w:lang w:eastAsia="zh-CN"/>
        </w:rPr>
        <w:t xml:space="preserve">По результатам рассмотрения заявки Заказчик вправе осуществить дополнительную проверку участников. В рамках данной проверки могут быть запрошены дополнительные документы. </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autoSpaceDE w:val="0"/>
        <w:autoSpaceDN w:val="0"/>
        <w:adjustRightInd w:val="0"/>
        <w:ind w:left="0" w:firstLine="0"/>
        <w:jc w:val="both"/>
        <w:rPr>
          <w:rFonts w:eastAsia="Calibri"/>
          <w:sz w:val="24"/>
          <w:szCs w:val="24"/>
          <w:lang w:eastAsia="zh-CN"/>
        </w:rPr>
      </w:pPr>
      <w:r>
        <w:rPr>
          <w:rFonts w:eastAsia="Calibri"/>
          <w:sz w:val="24"/>
          <w:szCs w:val="24"/>
          <w:lang w:eastAsia="zh-CN"/>
        </w:rPr>
        <w:t>Заявка на участие в отборе может быть отклонена в следующих случаях:</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400" w:leftChars="200"/>
        <w:contextualSpacing/>
        <w:jc w:val="both"/>
        <w:rPr>
          <w:rFonts w:eastAsia="Calibri"/>
          <w:sz w:val="24"/>
          <w:szCs w:val="24"/>
        </w:rPr>
      </w:pPr>
      <w:r>
        <w:rPr>
          <w:rFonts w:eastAsia="Calibri"/>
          <w:sz w:val="24"/>
          <w:szCs w:val="24"/>
        </w:rPr>
        <w:t>- заявка в существенной мере не отвечает требованиям к оформлению Документации об отборе;</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400" w:leftChars="200"/>
        <w:contextualSpacing/>
        <w:jc w:val="both"/>
        <w:rPr>
          <w:rFonts w:eastAsia="Calibri"/>
          <w:sz w:val="24"/>
          <w:szCs w:val="24"/>
        </w:rPr>
      </w:pPr>
      <w:r>
        <w:rPr>
          <w:rFonts w:eastAsia="Calibri"/>
          <w:sz w:val="24"/>
          <w:szCs w:val="24"/>
        </w:rPr>
        <w:t>- заявка подана участником, который не отвечает требованиям Документации об отборе;</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400" w:leftChars="200"/>
        <w:contextualSpacing/>
        <w:jc w:val="both"/>
        <w:rPr>
          <w:rFonts w:eastAsia="Calibri"/>
          <w:sz w:val="24"/>
          <w:szCs w:val="24"/>
        </w:rPr>
      </w:pPr>
      <w:r>
        <w:rPr>
          <w:rFonts w:eastAsia="Calibri"/>
          <w:sz w:val="24"/>
          <w:szCs w:val="24"/>
        </w:rPr>
        <w:t>- заявка содержит очевидные арифметические или грамматические ошибки;</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400" w:leftChars="200"/>
        <w:contextualSpacing/>
        <w:jc w:val="both"/>
        <w:rPr>
          <w:rFonts w:eastAsia="Calibri"/>
          <w:sz w:val="24"/>
          <w:szCs w:val="24"/>
        </w:rPr>
      </w:pPr>
      <w:r>
        <w:rPr>
          <w:rFonts w:eastAsia="Calibri"/>
          <w:sz w:val="24"/>
          <w:szCs w:val="24"/>
        </w:rPr>
        <w:t>- заявка подана Участником, не предоставившим необходимые для такого участия документы, либо в представленных документах имеются недостоверные сведения об Участнике.</w:t>
      </w:r>
    </w:p>
    <w:p>
      <w:pPr>
        <w:numPr>
          <w:ilvl w:val="2"/>
          <w:numId w:val="10"/>
        </w:numPr>
        <w:tabs>
          <w:tab w:val="clear" w:pos="709"/>
        </w:tabs>
        <w:ind w:left="0" w:firstLine="0"/>
        <w:jc w:val="both"/>
        <w:rPr>
          <w:sz w:val="24"/>
          <w:szCs w:val="24"/>
        </w:rPr>
      </w:pPr>
      <w:r>
        <w:rPr>
          <w:sz w:val="24"/>
          <w:szCs w:val="24"/>
        </w:rPr>
        <w:t xml:space="preserve">Рассмотрение заявки Участника Отбора производится Тендерной комиссией с составлением протокола на основе представленных Участником в составе заявки документов, подтверждающих соответствие обязательным и квалификационным требованиям, установленных в </w:t>
      </w:r>
      <w:r>
        <w:rPr>
          <w:rFonts w:eastAsia="Calibri"/>
          <w:sz w:val="24"/>
          <w:szCs w:val="24"/>
          <w:lang w:eastAsia="zh-CN"/>
        </w:rPr>
        <w:t>Документации об отборе</w:t>
      </w:r>
      <w:r>
        <w:rPr>
          <w:sz w:val="24"/>
          <w:szCs w:val="24"/>
        </w:rPr>
        <w:t xml:space="preserve">. </w:t>
      </w:r>
    </w:p>
    <w:p>
      <w:pPr>
        <w:numPr>
          <w:ilvl w:val="2"/>
          <w:numId w:val="10"/>
        </w:numPr>
        <w:tabs>
          <w:tab w:val="clear" w:pos="709"/>
        </w:tabs>
        <w:ind w:left="0" w:firstLine="0"/>
        <w:jc w:val="both"/>
        <w:rPr>
          <w:sz w:val="24"/>
          <w:szCs w:val="24"/>
        </w:rPr>
      </w:pPr>
      <w:r>
        <w:rPr>
          <w:sz w:val="24"/>
          <w:szCs w:val="24"/>
        </w:rPr>
        <w:t>Участники, отвечающие обязательным и квалификационным требованиям, заносятся в соответствующий направлению закупок или сфере закупок Реестр квалифицированных поставщиков Фонда.</w:t>
      </w:r>
    </w:p>
    <w:p>
      <w:pPr>
        <w:numPr>
          <w:ilvl w:val="2"/>
          <w:numId w:val="10"/>
        </w:numPr>
        <w:tabs>
          <w:tab w:val="clear" w:pos="709"/>
        </w:tabs>
        <w:ind w:left="0" w:firstLine="0"/>
        <w:jc w:val="both"/>
        <w:rPr>
          <w:sz w:val="24"/>
          <w:szCs w:val="24"/>
        </w:rPr>
      </w:pPr>
      <w:r>
        <w:rPr>
          <w:sz w:val="24"/>
          <w:szCs w:val="24"/>
        </w:rPr>
        <w:t>Заказчик в течение 3 (трех) дней после подписания протокола размещает на сайте Заказчика протокол заседания Тендерной комиссии, который должен содержать наименование, ИНН участника, подавшего заявку, результаты рассмотрения и принятия решения о включении Участника в Реестр квалифицированных поставщиков.</w:t>
      </w:r>
    </w:p>
    <w:p>
      <w:pPr>
        <w:numPr>
          <w:ilvl w:val="1"/>
          <w:numId w:val="10"/>
        </w:numPr>
        <w:tabs>
          <w:tab w:val="clear" w:pos="567"/>
        </w:tabs>
        <w:spacing w:before="120"/>
        <w:ind w:left="0" w:firstLine="0"/>
        <w:jc w:val="both"/>
        <w:rPr>
          <w:b/>
          <w:bCs/>
          <w:sz w:val="24"/>
          <w:szCs w:val="24"/>
        </w:rPr>
      </w:pPr>
      <w:r>
        <w:rPr>
          <w:b/>
          <w:bCs/>
          <w:sz w:val="24"/>
          <w:szCs w:val="24"/>
        </w:rPr>
        <w:t>Реестр квалифицированных поставщиков.</w:t>
      </w:r>
    </w:p>
    <w:p>
      <w:pPr>
        <w:numPr>
          <w:ilvl w:val="2"/>
          <w:numId w:val="10"/>
        </w:numPr>
        <w:tabs>
          <w:tab w:val="clear" w:pos="709"/>
        </w:tabs>
        <w:ind w:left="0" w:firstLine="0"/>
        <w:jc w:val="both"/>
        <w:rPr>
          <w:sz w:val="24"/>
          <w:szCs w:val="24"/>
        </w:rPr>
      </w:pPr>
      <w:r>
        <w:rPr>
          <w:sz w:val="24"/>
          <w:szCs w:val="24"/>
        </w:rPr>
        <w:t xml:space="preserve">Реестр является публичным и размещается на сайте Заказчика. </w:t>
      </w:r>
    </w:p>
    <w:p>
      <w:pPr>
        <w:numPr>
          <w:ilvl w:val="2"/>
          <w:numId w:val="10"/>
        </w:numPr>
        <w:tabs>
          <w:tab w:val="clear" w:pos="709"/>
        </w:tabs>
        <w:ind w:left="0" w:firstLine="0"/>
        <w:jc w:val="both"/>
        <w:rPr>
          <w:sz w:val="24"/>
          <w:szCs w:val="24"/>
        </w:rPr>
      </w:pPr>
      <w:r>
        <w:rPr>
          <w:sz w:val="24"/>
          <w:szCs w:val="24"/>
        </w:rPr>
        <w:t>Реестр формируется Заказчиком на определенный в Документацией об отборе период.</w:t>
      </w:r>
    </w:p>
    <w:p>
      <w:pPr>
        <w:numPr>
          <w:ilvl w:val="2"/>
          <w:numId w:val="10"/>
        </w:numPr>
        <w:tabs>
          <w:tab w:val="clear" w:pos="709"/>
        </w:tabs>
        <w:ind w:left="0" w:firstLine="0"/>
        <w:jc w:val="both"/>
        <w:rPr>
          <w:sz w:val="24"/>
          <w:szCs w:val="24"/>
        </w:rPr>
      </w:pPr>
      <w:r>
        <w:rPr>
          <w:sz w:val="24"/>
          <w:szCs w:val="24"/>
        </w:rPr>
        <w:t>Срок действия Реестра по решению Заказчика может быть продлен.</w:t>
      </w:r>
    </w:p>
    <w:p>
      <w:pPr>
        <w:numPr>
          <w:ilvl w:val="2"/>
          <w:numId w:val="10"/>
        </w:numPr>
        <w:tabs>
          <w:tab w:val="clear" w:pos="709"/>
        </w:tabs>
        <w:ind w:left="0" w:firstLine="0"/>
        <w:jc w:val="both"/>
        <w:rPr>
          <w:sz w:val="24"/>
          <w:szCs w:val="24"/>
        </w:rPr>
      </w:pPr>
      <w:r>
        <w:rPr>
          <w:sz w:val="24"/>
          <w:szCs w:val="24"/>
        </w:rPr>
        <w:t xml:space="preserve">Заказчик вправе признать Реестр утратившим силу в любое время до окончания периода его действия. </w:t>
      </w:r>
    </w:p>
    <w:p>
      <w:pPr>
        <w:numPr>
          <w:ilvl w:val="2"/>
          <w:numId w:val="10"/>
        </w:numPr>
        <w:tabs>
          <w:tab w:val="clear" w:pos="709"/>
        </w:tabs>
        <w:ind w:left="0" w:firstLine="0"/>
        <w:jc w:val="both"/>
        <w:rPr>
          <w:sz w:val="24"/>
          <w:szCs w:val="24"/>
        </w:rPr>
      </w:pPr>
      <w:r>
        <w:rPr>
          <w:sz w:val="24"/>
          <w:szCs w:val="24"/>
        </w:rPr>
        <w:t xml:space="preserve">В любой момент Заказчик вправе потребовать от любого участника закупок, включенного в Реестр, прохождения постквалификации – подтверждения его соответствия требованиям, установленным в Документации об отборе. </w:t>
      </w:r>
    </w:p>
    <w:p>
      <w:pPr>
        <w:numPr>
          <w:ilvl w:val="2"/>
          <w:numId w:val="10"/>
        </w:numPr>
        <w:tabs>
          <w:tab w:val="clear" w:pos="709"/>
        </w:tabs>
        <w:ind w:left="0" w:firstLine="0"/>
        <w:jc w:val="both"/>
        <w:rPr>
          <w:sz w:val="24"/>
          <w:szCs w:val="24"/>
        </w:rPr>
      </w:pPr>
      <w:r>
        <w:rPr>
          <w:sz w:val="24"/>
          <w:szCs w:val="24"/>
        </w:rPr>
        <w:t xml:space="preserve">Участник закупок, не отвечающий по результатам постквалификации необходимым требованиям, установленным в документации об отборе, или не предоставивший в установленный срок запрашиваемые Заказчиком обновленные документы и сведения, подтверждающие его квалификацию, по решению Заказчика может быть исключен из Реестра. </w:t>
      </w:r>
    </w:p>
    <w:p>
      <w:pPr>
        <w:numPr>
          <w:ilvl w:val="2"/>
          <w:numId w:val="10"/>
        </w:numPr>
        <w:tabs>
          <w:tab w:val="clear" w:pos="709"/>
        </w:tabs>
        <w:ind w:left="0" w:firstLine="0"/>
        <w:jc w:val="both"/>
        <w:rPr>
          <w:sz w:val="24"/>
          <w:szCs w:val="24"/>
        </w:rPr>
      </w:pPr>
      <w:r>
        <w:rPr>
          <w:sz w:val="24"/>
          <w:szCs w:val="24"/>
        </w:rPr>
        <w:t xml:space="preserve">Заказчик вправе принять решение об исключении из Реестра участника закупок:  </w:t>
      </w:r>
    </w:p>
    <w:p>
      <w:pPr>
        <w:ind w:left="400" w:leftChars="200"/>
        <w:jc w:val="both"/>
        <w:rPr>
          <w:sz w:val="24"/>
          <w:szCs w:val="24"/>
        </w:rPr>
      </w:pPr>
      <w:r>
        <w:rPr>
          <w:sz w:val="24"/>
          <w:szCs w:val="24"/>
        </w:rPr>
        <w:t xml:space="preserve">а) уклонившегося по результатам процедуры закупки от заключения договора; </w:t>
      </w:r>
    </w:p>
    <w:p>
      <w:pPr>
        <w:ind w:left="400" w:leftChars="200"/>
        <w:jc w:val="both"/>
        <w:rPr>
          <w:sz w:val="24"/>
          <w:szCs w:val="24"/>
        </w:rPr>
      </w:pPr>
      <w:r>
        <w:rPr>
          <w:sz w:val="24"/>
          <w:szCs w:val="24"/>
        </w:rPr>
        <w:t xml:space="preserve">б) договор с которым расторгнут по решению суда или иным способом в связи с существенным нарушением им условий договора; </w:t>
      </w:r>
    </w:p>
    <w:p>
      <w:pPr>
        <w:ind w:left="400" w:leftChars="200"/>
        <w:jc w:val="both"/>
        <w:rPr>
          <w:sz w:val="24"/>
          <w:szCs w:val="24"/>
        </w:rPr>
      </w:pPr>
      <w:r>
        <w:rPr>
          <w:sz w:val="24"/>
          <w:szCs w:val="24"/>
        </w:rPr>
        <w:t xml:space="preserve">в) нарушившего условия заключенного договора в части сроков поставки и качества поставляемой продукции; </w:t>
      </w:r>
    </w:p>
    <w:p>
      <w:pPr>
        <w:ind w:left="400" w:leftChars="200"/>
        <w:jc w:val="both"/>
        <w:rPr>
          <w:sz w:val="24"/>
          <w:szCs w:val="24"/>
        </w:rPr>
      </w:pPr>
      <w:r>
        <w:rPr>
          <w:sz w:val="24"/>
          <w:szCs w:val="24"/>
        </w:rPr>
        <w:t xml:space="preserve">г) не прошедшего процедуру постквалификации в соответствии с Правилами осуществления закупок для нужд Фонда развития ИНТЦ «Русский»; </w:t>
      </w:r>
    </w:p>
    <w:p>
      <w:pPr>
        <w:ind w:left="400" w:leftChars="200"/>
        <w:jc w:val="both"/>
        <w:rPr>
          <w:sz w:val="24"/>
          <w:szCs w:val="24"/>
        </w:rPr>
      </w:pPr>
      <w:r>
        <w:rPr>
          <w:sz w:val="24"/>
          <w:szCs w:val="24"/>
        </w:rPr>
        <w:t xml:space="preserve">д) не принявшего участия (по направленным Заказчиком приглашениям) более чем в 2 (двух) процедурах закупок. </w:t>
      </w:r>
    </w:p>
    <w:p>
      <w:pPr>
        <w:ind w:left="400" w:leftChars="200"/>
        <w:jc w:val="both"/>
        <w:rPr>
          <w:sz w:val="24"/>
          <w:szCs w:val="24"/>
        </w:rPr>
      </w:pPr>
      <w:r>
        <w:rPr>
          <w:sz w:val="24"/>
          <w:szCs w:val="24"/>
        </w:rPr>
        <w:t>е) отрицательного опыта работы/поставок, осуществленных участником Реестра по договорам с Фондом.</w:t>
      </w:r>
    </w:p>
    <w:p>
      <w:pPr>
        <w:numPr>
          <w:ilvl w:val="1"/>
          <w:numId w:val="10"/>
        </w:numPr>
        <w:spacing w:before="120"/>
        <w:ind w:left="0" w:firstLine="0"/>
        <w:jc w:val="both"/>
        <w:rPr>
          <w:b/>
          <w:bCs/>
          <w:sz w:val="24"/>
          <w:szCs w:val="24"/>
        </w:rPr>
      </w:pPr>
      <w:bookmarkStart w:id="112" w:name="_Toc123123795"/>
      <w:bookmarkStart w:id="113" w:name="_Ref514600896"/>
      <w:r>
        <w:rPr>
          <w:b/>
          <w:bCs/>
          <w:sz w:val="24"/>
          <w:szCs w:val="24"/>
        </w:rPr>
        <w:t>Признание Отбора несостоявш</w:t>
      </w:r>
      <w:bookmarkEnd w:id="112"/>
      <w:bookmarkEnd w:id="113"/>
      <w:r>
        <w:rPr>
          <w:b/>
          <w:bCs/>
          <w:sz w:val="24"/>
          <w:szCs w:val="24"/>
        </w:rPr>
        <w:t>имся</w:t>
      </w:r>
    </w:p>
    <w:p>
      <w:pPr>
        <w:numPr>
          <w:ilvl w:val="2"/>
          <w:numId w:val="10"/>
        </w:numPr>
        <w:tabs>
          <w:tab w:val="clear" w:pos="709"/>
        </w:tabs>
        <w:ind w:left="0" w:firstLine="0"/>
        <w:jc w:val="both"/>
        <w:rPr>
          <w:sz w:val="24"/>
          <w:szCs w:val="24"/>
        </w:rPr>
      </w:pPr>
      <w:bookmarkStart w:id="114" w:name="_Toc123123796"/>
      <w:r>
        <w:rPr>
          <w:sz w:val="24"/>
          <w:szCs w:val="24"/>
        </w:rPr>
        <w:t xml:space="preserve">В случае, если после окончания срока подачи заявок на участие в Отборе подано менее 2 (двух) заявок, такой Отбор признается несостоявшимся, а в случае проведения дополнительного отбора Отбор признается несостоявшимся, если по окончании срока подачи заявок не подано ни одной заявки; </w:t>
      </w:r>
    </w:p>
    <w:p>
      <w:pPr>
        <w:numPr>
          <w:ilvl w:val="1"/>
          <w:numId w:val="10"/>
        </w:numPr>
        <w:spacing w:before="120"/>
        <w:ind w:left="0" w:firstLine="0"/>
        <w:jc w:val="both"/>
        <w:rPr>
          <w:b/>
          <w:bCs/>
          <w:sz w:val="24"/>
          <w:szCs w:val="24"/>
        </w:rPr>
      </w:pPr>
      <w:r>
        <w:rPr>
          <w:b/>
          <w:bCs/>
          <w:sz w:val="24"/>
          <w:szCs w:val="24"/>
        </w:rPr>
        <w:t xml:space="preserve">Отказ от проведения (отмена) </w:t>
      </w:r>
      <w:bookmarkEnd w:id="114"/>
      <w:r>
        <w:rPr>
          <w:b/>
          <w:bCs/>
          <w:sz w:val="24"/>
          <w:szCs w:val="24"/>
        </w:rPr>
        <w:t>Отбора</w:t>
      </w:r>
    </w:p>
    <w:p>
      <w:pPr>
        <w:numPr>
          <w:ilvl w:val="2"/>
          <w:numId w:val="10"/>
        </w:numPr>
        <w:ind w:left="0" w:firstLine="0"/>
        <w:jc w:val="both"/>
        <w:rPr>
          <w:sz w:val="24"/>
          <w:szCs w:val="24"/>
        </w:rPr>
      </w:pPr>
      <w:r>
        <w:rPr>
          <w:sz w:val="24"/>
          <w:szCs w:val="24"/>
        </w:rPr>
        <w:t>Заказчик вправе отказаться от проведения Отбора на любом этапе и в любое время не неся при этом никакой материальной ответственности перед Участниками Отбора.</w:t>
      </w:r>
    </w:p>
    <w:p>
      <w:pPr>
        <w:numPr>
          <w:ilvl w:val="1"/>
          <w:numId w:val="10"/>
        </w:numPr>
        <w:spacing w:before="120"/>
        <w:ind w:left="0" w:firstLine="0"/>
        <w:jc w:val="both"/>
        <w:rPr>
          <w:b/>
          <w:bCs/>
          <w:sz w:val="24"/>
          <w:szCs w:val="24"/>
        </w:rPr>
      </w:pPr>
      <w:bookmarkStart w:id="115" w:name="_Ref30970"/>
      <w:r>
        <w:rPr>
          <w:b/>
          <w:bCs/>
          <w:sz w:val="24"/>
          <w:szCs w:val="24"/>
        </w:rPr>
        <w:t>Проведения дополнительных Отборов</w:t>
      </w:r>
      <w:bookmarkEnd w:id="115"/>
    </w:p>
    <w:p>
      <w:pPr>
        <w:numPr>
          <w:ilvl w:val="2"/>
          <w:numId w:val="10"/>
        </w:numPr>
        <w:tabs>
          <w:tab w:val="clear" w:pos="709"/>
        </w:tabs>
        <w:spacing w:after="60"/>
        <w:ind w:left="0" w:firstLine="0"/>
        <w:jc w:val="both"/>
        <w:rPr>
          <w:sz w:val="24"/>
          <w:szCs w:val="24"/>
        </w:rPr>
      </w:pPr>
      <w:r>
        <w:rPr>
          <w:sz w:val="24"/>
          <w:szCs w:val="24"/>
        </w:rPr>
        <w:t>Заказчик вправе провести дополнительные Отборы с целью включения в Реестр участников таких Отборов, по которым принято решение Тендерной комиссией о признании их квалифицированными поставщиками.</w:t>
      </w:r>
    </w:p>
    <w:p>
      <w:pPr>
        <w:jc w:val="both"/>
        <w:rPr>
          <w:b/>
          <w:bCs/>
          <w:sz w:val="24"/>
          <w:szCs w:val="24"/>
        </w:rPr>
      </w:pPr>
      <w:r>
        <w:rPr>
          <w:b/>
          <w:bCs/>
          <w:sz w:val="24"/>
          <w:szCs w:val="24"/>
        </w:rPr>
        <w:br w:type="page"/>
      </w:r>
    </w:p>
    <w:p>
      <w:pPr>
        <w:pStyle w:val="2"/>
        <w:numPr>
          <w:ilvl w:val="0"/>
          <w:numId w:val="10"/>
        </w:num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ИНФОРМАЦИЯ О ПРОВЕДЕНИИ ОТБОРА</w:t>
      </w:r>
    </w:p>
    <w:p>
      <w:pPr>
        <w:numPr>
          <w:ilvl w:val="1"/>
          <w:numId w:val="10"/>
        </w:numPr>
        <w:rPr>
          <w:b/>
          <w:bCs/>
          <w:sz w:val="24"/>
          <w:szCs w:val="24"/>
        </w:rPr>
      </w:pPr>
      <w:r>
        <w:rPr>
          <w:b/>
          <w:bCs/>
          <w:sz w:val="24"/>
          <w:szCs w:val="24"/>
        </w:rPr>
        <w:t>Статус настоящего раздела</w:t>
      </w:r>
    </w:p>
    <w:p>
      <w:pPr>
        <w:numPr>
          <w:ilvl w:val="2"/>
          <w:numId w:val="10"/>
        </w:numPr>
        <w:ind w:left="0" w:firstLine="0"/>
        <w:jc w:val="both"/>
        <w:rPr>
          <w:sz w:val="24"/>
          <w:szCs w:val="24"/>
        </w:rPr>
      </w:pPr>
      <w:r>
        <w:rPr>
          <w:sz w:val="24"/>
          <w:szCs w:val="24"/>
        </w:rPr>
        <w:t xml:space="preserve">В настоящем разделе содержатся основные сведения о предмете, способе и иных ключевых условиях проводимого Отбора (в том числе информация о применении, изменении, отмене, уточнении отдельных положений прочих разделов настоящей Документации об отборе). </w:t>
      </w:r>
    </w:p>
    <w:p>
      <w:pPr>
        <w:numPr>
          <w:ilvl w:val="2"/>
          <w:numId w:val="10"/>
        </w:numPr>
        <w:ind w:left="0" w:firstLine="0"/>
        <w:jc w:val="both"/>
        <w:rPr>
          <w:sz w:val="24"/>
          <w:szCs w:val="24"/>
        </w:rPr>
      </w:pPr>
      <w:r>
        <w:rPr>
          <w:sz w:val="24"/>
          <w:szCs w:val="24"/>
        </w:rPr>
        <w:t xml:space="preserve">Здесь и далее все ссылки, используемые в настоящей Документации об отборе, относятся к соответствующим пунктам, разделам и подразделам настоящей Документации об отборе, если прямо не предусмотрено иное. </w:t>
      </w:r>
    </w:p>
    <w:p>
      <w:pPr>
        <w:numPr>
          <w:ilvl w:val="1"/>
          <w:numId w:val="10"/>
        </w:numPr>
        <w:rPr>
          <w:b/>
          <w:bCs/>
          <w:sz w:val="24"/>
          <w:szCs w:val="24"/>
        </w:rPr>
      </w:pPr>
      <w:r>
        <w:rPr>
          <w:b/>
          <w:bCs/>
          <w:sz w:val="24"/>
          <w:szCs w:val="24"/>
        </w:rPr>
        <w:t>Информация о проводимом предварительном отборе</w:t>
      </w:r>
    </w:p>
    <w:tbl>
      <w:tblPr>
        <w:tblStyle w:val="12"/>
        <w:tblW w:w="5129"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3210"/>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vAlign w:val="center"/>
          </w:tcPr>
          <w:p>
            <w:pPr>
              <w:autoSpaceDE w:val="0"/>
              <w:autoSpaceDN w:val="0"/>
              <w:adjustRightInd w:val="0"/>
              <w:jc w:val="both"/>
              <w:rPr>
                <w:rFonts w:eastAsia="Calibri"/>
                <w:b/>
                <w:bCs/>
                <w:color w:val="000000"/>
                <w:sz w:val="24"/>
                <w:szCs w:val="24"/>
                <w:lang w:eastAsia="en-US"/>
              </w:rPr>
            </w:pPr>
            <w:r>
              <w:rPr>
                <w:b/>
                <w:bCs/>
                <w:sz w:val="24"/>
                <w:szCs w:val="24"/>
              </w:rPr>
              <w:t>№п/п</w:t>
            </w:r>
          </w:p>
        </w:tc>
        <w:tc>
          <w:tcPr>
            <w:tcW w:w="3210" w:type="dxa"/>
            <w:tcBorders>
              <w:bottom w:val="single" w:color="auto" w:sz="4" w:space="0"/>
            </w:tcBorders>
            <w:vAlign w:val="center"/>
          </w:tcPr>
          <w:p>
            <w:pPr>
              <w:autoSpaceDE w:val="0"/>
              <w:autoSpaceDN w:val="0"/>
              <w:adjustRightInd w:val="0"/>
              <w:jc w:val="center"/>
              <w:rPr>
                <w:rFonts w:eastAsia="Calibri"/>
                <w:b/>
                <w:bCs/>
                <w:color w:val="000000"/>
                <w:sz w:val="24"/>
                <w:szCs w:val="24"/>
                <w:lang w:eastAsia="en-US"/>
              </w:rPr>
            </w:pPr>
            <w:r>
              <w:rPr>
                <w:b/>
                <w:bCs/>
                <w:sz w:val="24"/>
                <w:szCs w:val="24"/>
              </w:rPr>
              <w:t>Наименование</w:t>
            </w:r>
          </w:p>
        </w:tc>
        <w:tc>
          <w:tcPr>
            <w:tcW w:w="6390" w:type="dxa"/>
            <w:tcBorders>
              <w:bottom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jc w:val="center"/>
              <w:rPr>
                <w:rFonts w:eastAsia="Arial Unicode MS"/>
                <w:b/>
                <w:bCs/>
                <w:sz w:val="24"/>
                <w:szCs w:val="24"/>
                <w:lang w:val="en-US" w:eastAsia="zh-CN"/>
              </w:rPr>
            </w:pPr>
            <w:r>
              <w:rPr>
                <w:b/>
                <w:bCs/>
                <w:sz w:val="24"/>
                <w:szCs w:val="24"/>
              </w:rPr>
              <w:t>Информация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vAlign w:val="center"/>
          </w:tcPr>
          <w:p>
            <w:pPr>
              <w:numPr>
                <w:ilvl w:val="2"/>
                <w:numId w:val="10"/>
              </w:numPr>
              <w:tabs>
                <w:tab w:val="clear" w:pos="709"/>
              </w:tabs>
              <w:autoSpaceDE w:val="0"/>
              <w:autoSpaceDN w:val="0"/>
              <w:adjustRightInd w:val="0"/>
              <w:ind w:left="0" w:firstLine="0"/>
              <w:rPr>
                <w:rFonts w:eastAsia="Calibri"/>
                <w:bCs/>
                <w:color w:val="000000"/>
                <w:sz w:val="24"/>
                <w:szCs w:val="24"/>
                <w:lang w:eastAsia="en-US"/>
              </w:rPr>
            </w:pPr>
            <w:bookmarkStart w:id="116" w:name="_Ref5775"/>
            <w:bookmarkEnd w:id="116"/>
          </w:p>
        </w:tc>
        <w:tc>
          <w:tcPr>
            <w:tcW w:w="3210" w:type="dxa"/>
            <w:tcBorders>
              <w:bottom w:val="single" w:color="auto" w:sz="4" w:space="0"/>
            </w:tcBorders>
            <w:vAlign w:val="center"/>
          </w:tcPr>
          <w:p>
            <w:pPr>
              <w:autoSpaceDE w:val="0"/>
              <w:autoSpaceDN w:val="0"/>
              <w:adjustRightInd w:val="0"/>
              <w:jc w:val="both"/>
              <w:rPr>
                <w:rFonts w:eastAsia="Calibri"/>
                <w:iCs/>
                <w:color w:val="000000"/>
                <w:sz w:val="24"/>
                <w:szCs w:val="24"/>
                <w:lang w:eastAsia="en-US"/>
              </w:rPr>
            </w:pPr>
            <w:r>
              <w:rPr>
                <w:sz w:val="24"/>
                <w:szCs w:val="24"/>
              </w:rPr>
              <w:t>Заказчик</w:t>
            </w:r>
          </w:p>
        </w:tc>
        <w:tc>
          <w:tcPr>
            <w:tcW w:w="6390" w:type="dxa"/>
            <w:tcBorders>
              <w:bottom w:val="single" w:color="auto" w:sz="4" w:space="0"/>
            </w:tcBorders>
            <w:vAlign w:val="center"/>
          </w:tcPr>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Фонд развития инновационного научно-технологического центра «Русский» (Фонд развития ИНТЦ «Русский»)</w:t>
            </w:r>
          </w:p>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 xml:space="preserve">Место нахождения/юридический адрес/почтовый адрес: </w:t>
            </w:r>
          </w:p>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690922, Приморский край, г. Владивосток,</w:t>
            </w:r>
          </w:p>
          <w:p>
            <w:pPr>
              <w:widowControl w:val="0"/>
              <w:suppressAutoHyphens/>
              <w:spacing w:line="100" w:lineRule="atLeast"/>
              <w:jc w:val="both"/>
              <w:rPr>
                <w:rFonts w:eastAsia="Lucida Sans Unicode"/>
                <w:kern w:val="1"/>
                <w:sz w:val="24"/>
                <w:szCs w:val="24"/>
              </w:rPr>
            </w:pPr>
            <w:r>
              <w:rPr>
                <w:rFonts w:eastAsia="Lucida Sans Unicode"/>
                <w:kern w:val="1"/>
                <w:sz w:val="24"/>
                <w:szCs w:val="24"/>
                <w:lang w:bidi="ru-RU"/>
              </w:rPr>
              <w:t>остров Русский, п. Аякс, д. 10</w:t>
            </w:r>
            <w:r>
              <w:rPr>
                <w:rFonts w:eastAsia="Lucida Sans Unicode"/>
                <w:kern w:val="1"/>
                <w:sz w:val="24"/>
                <w:szCs w:val="24"/>
              </w:rPr>
              <w:t>, офис Л519</w:t>
            </w:r>
          </w:p>
          <w:p>
            <w:pPr>
              <w:widowControl w:val="0"/>
              <w:numPr>
                <w:ilvl w:val="0"/>
                <w:numId w:val="12"/>
              </w:numPr>
              <w:suppressAutoHyphens/>
              <w:spacing w:line="100" w:lineRule="atLeast"/>
              <w:jc w:val="both"/>
              <w:rPr>
                <w:rStyle w:val="18"/>
                <w:rFonts w:eastAsia="Arial Unicode MS"/>
                <w:color w:val="auto"/>
                <w:sz w:val="24"/>
                <w:szCs w:val="24"/>
                <w:lang w:val="en-US" w:eastAsia="zh-CN"/>
              </w:rPr>
            </w:pPr>
            <w:r>
              <w:rPr>
                <w:rFonts w:eastAsia="Arial Unicode MS"/>
                <w:sz w:val="24"/>
                <w:szCs w:val="24"/>
                <w:lang w:val="en-US" w:eastAsia="zh-CN"/>
              </w:rPr>
              <w:t xml:space="preserve">mail: </w:t>
            </w:r>
            <w:r>
              <w:fldChar w:fldCharType="begin"/>
            </w:r>
            <w:r>
              <w:instrText xml:space="preserve"> HYPERLINK "mailto:osipov.ey@iostrov.ru" </w:instrText>
            </w:r>
            <w:r>
              <w:fldChar w:fldCharType="separate"/>
            </w:r>
            <w:r>
              <w:rPr>
                <w:rStyle w:val="18"/>
                <w:rFonts w:eastAsia="Arial Unicode MS"/>
                <w:color w:val="auto"/>
                <w:sz w:val="24"/>
                <w:szCs w:val="24"/>
                <w:lang w:val="en-US" w:eastAsia="zh-CN"/>
              </w:rPr>
              <w:t>intc@iostrov.ru</w:t>
            </w:r>
            <w:r>
              <w:rPr>
                <w:rStyle w:val="18"/>
                <w:rFonts w:eastAsia="Arial Unicode MS"/>
                <w:color w:val="auto"/>
                <w:sz w:val="24"/>
                <w:szCs w:val="24"/>
                <w:lang w:val="en-US" w:eastAsia="zh-CN"/>
              </w:rPr>
              <w:fldChar w:fldCharType="end"/>
            </w:r>
          </w:p>
          <w:p>
            <w:pPr>
              <w:widowControl w:val="0"/>
              <w:suppressAutoHyphens/>
              <w:spacing w:line="100" w:lineRule="atLeast"/>
              <w:jc w:val="both"/>
              <w:rPr>
                <w:rStyle w:val="18"/>
                <w:rFonts w:eastAsia="Arial Unicode MS"/>
                <w:color w:val="auto"/>
                <w:sz w:val="24"/>
                <w:szCs w:val="24"/>
                <w:u w:val="none"/>
                <w:lang w:eastAsia="zh-CN"/>
              </w:rPr>
            </w:pPr>
            <w:r>
              <w:rPr>
                <w:rStyle w:val="18"/>
                <w:rFonts w:eastAsia="Arial Unicode MS"/>
                <w:color w:val="auto"/>
                <w:sz w:val="24"/>
                <w:szCs w:val="24"/>
                <w:u w:val="none"/>
                <w:lang w:eastAsia="zh-CN"/>
              </w:rPr>
              <w:t>Тел.:+7(423)229-09-19</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Контактные лицо: Осипов Евгений Юрьевич, тел.: +7-904-628-67-87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color w:val="000000"/>
                <w:sz w:val="24"/>
                <w:szCs w:val="24"/>
              </w:rPr>
            </w:pPr>
            <w:bookmarkStart w:id="117" w:name="_Ref32093"/>
            <w:bookmarkEnd w:id="117"/>
            <w:bookmarkStart w:id="118" w:name="_Ref32165"/>
            <w:bookmarkEnd w:id="118"/>
          </w:p>
        </w:tc>
        <w:tc>
          <w:tcPr>
            <w:tcW w:w="3210" w:type="dxa"/>
            <w:tcBorders>
              <w:bottom w:val="single" w:color="auto" w:sz="4" w:space="0"/>
            </w:tcBorders>
            <w:vAlign w:val="center"/>
          </w:tcPr>
          <w:p>
            <w:pPr>
              <w:widowControl w:val="0"/>
              <w:spacing w:after="60"/>
              <w:jc w:val="both"/>
              <w:rPr>
                <w:color w:val="000000"/>
                <w:sz w:val="24"/>
                <w:szCs w:val="24"/>
              </w:rPr>
            </w:pPr>
            <w:r>
              <w:rPr>
                <w:color w:val="000000"/>
                <w:sz w:val="24"/>
                <w:szCs w:val="24"/>
              </w:rPr>
              <w:t>Предмет Отбора</w:t>
            </w:r>
          </w:p>
        </w:tc>
        <w:tc>
          <w:tcPr>
            <w:tcW w:w="6390" w:type="dxa"/>
            <w:tcBorders>
              <w:bottom w:val="single" w:color="auto" w:sz="4" w:space="0"/>
            </w:tcBorders>
          </w:tcPr>
          <w:p>
            <w:pPr>
              <w:pStyle w:val="370"/>
              <w:jc w:val="both"/>
              <w:rPr>
                <w:b w:val="0"/>
                <w:snapToGrid w:val="0"/>
                <w:sz w:val="24"/>
              </w:rPr>
            </w:pPr>
            <w:r>
              <w:rPr>
                <w:b w:val="0"/>
                <w:snapToGrid w:val="0"/>
                <w:sz w:val="24"/>
              </w:rPr>
              <w:t>Включение в Реестр квалифицированных подрядных организаций выбираемых для участия в закупочных процедурах с целью заключения договоров на выполнение строительно-монтажных работ на объектах на объектах инновационного научно-технологического центра «Русский» с начальной максимальной ценой такого договора, не превышающей 700 000 000 (семьсот миллионов)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numPr>
                <w:ilvl w:val="2"/>
                <w:numId w:val="10"/>
              </w:numPr>
              <w:tabs>
                <w:tab w:val="clear" w:pos="709"/>
              </w:tabs>
              <w:ind w:left="0" w:firstLine="0"/>
              <w:jc w:val="both"/>
              <w:rPr>
                <w:kern w:val="2"/>
                <w:sz w:val="24"/>
                <w:szCs w:val="24"/>
              </w:rPr>
            </w:pPr>
          </w:p>
        </w:tc>
        <w:tc>
          <w:tcPr>
            <w:tcW w:w="3210" w:type="dxa"/>
            <w:tcBorders>
              <w:bottom w:val="single" w:color="auto" w:sz="4" w:space="0"/>
            </w:tcBorders>
            <w:vAlign w:val="center"/>
          </w:tcPr>
          <w:p>
            <w:pPr>
              <w:jc w:val="both"/>
              <w:rPr>
                <w:kern w:val="2"/>
                <w:sz w:val="24"/>
                <w:szCs w:val="24"/>
              </w:rPr>
            </w:pPr>
            <w:r>
              <w:rPr>
                <w:color w:val="000000"/>
                <w:sz w:val="24"/>
                <w:szCs w:val="24"/>
              </w:rPr>
              <w:t>Период действия Реестра</w:t>
            </w:r>
          </w:p>
        </w:tc>
        <w:tc>
          <w:tcPr>
            <w:tcW w:w="6390" w:type="dxa"/>
            <w:tcBorders>
              <w:bottom w:val="single" w:color="auto" w:sz="4" w:space="0"/>
            </w:tcBorders>
          </w:tcPr>
          <w:p>
            <w:pPr>
              <w:jc w:val="both"/>
              <w:rPr>
                <w:color w:val="000000"/>
                <w:sz w:val="24"/>
                <w:szCs w:val="24"/>
              </w:rPr>
            </w:pPr>
            <w:r>
              <w:rPr>
                <w:color w:val="000000"/>
                <w:sz w:val="24"/>
                <w:szCs w:val="24"/>
              </w:rPr>
              <w:t>До 01 июня 2024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numPr>
                <w:ilvl w:val="2"/>
                <w:numId w:val="10"/>
              </w:numPr>
              <w:tabs>
                <w:tab w:val="clear" w:pos="709"/>
              </w:tabs>
              <w:ind w:left="0" w:firstLine="0"/>
              <w:jc w:val="both"/>
              <w:rPr>
                <w:kern w:val="2"/>
                <w:sz w:val="24"/>
                <w:szCs w:val="24"/>
              </w:rPr>
            </w:pPr>
            <w:bookmarkStart w:id="119" w:name="_Ref32612"/>
            <w:bookmarkEnd w:id="119"/>
          </w:p>
        </w:tc>
        <w:tc>
          <w:tcPr>
            <w:tcW w:w="3210" w:type="dxa"/>
            <w:tcBorders>
              <w:bottom w:val="single" w:color="auto" w:sz="4" w:space="0"/>
            </w:tcBorders>
            <w:vAlign w:val="center"/>
          </w:tcPr>
          <w:p>
            <w:pPr>
              <w:jc w:val="both"/>
              <w:rPr>
                <w:kern w:val="2"/>
                <w:sz w:val="24"/>
                <w:szCs w:val="24"/>
              </w:rPr>
            </w:pPr>
            <w:r>
              <w:rPr>
                <w:kern w:val="2"/>
                <w:sz w:val="24"/>
                <w:szCs w:val="24"/>
              </w:rPr>
              <w:t>Участники Отбора</w:t>
            </w:r>
          </w:p>
        </w:tc>
        <w:tc>
          <w:tcPr>
            <w:tcW w:w="6390" w:type="dxa"/>
            <w:tcBorders>
              <w:bottom w:val="single" w:color="auto" w:sz="4" w:space="0"/>
            </w:tcBorders>
          </w:tcPr>
          <w:p>
            <w:pPr>
              <w:jc w:val="both"/>
              <w:rPr>
                <w:color w:val="000000"/>
                <w:sz w:val="24"/>
                <w:szCs w:val="24"/>
              </w:rPr>
            </w:pPr>
            <w:r>
              <w:rPr>
                <w:color w:val="000000"/>
                <w:sz w:val="24"/>
                <w:szCs w:val="24"/>
              </w:rPr>
              <w:t>Участвовать в закупке могут любые заинтересованные лица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color w:val="000000"/>
                <w:sz w:val="24"/>
                <w:szCs w:val="24"/>
              </w:rPr>
            </w:pPr>
          </w:p>
        </w:tc>
        <w:tc>
          <w:tcPr>
            <w:tcW w:w="3210" w:type="dxa"/>
            <w:tcBorders>
              <w:bottom w:val="single" w:color="auto" w:sz="4" w:space="0"/>
            </w:tcBorders>
            <w:vAlign w:val="center"/>
          </w:tcPr>
          <w:p>
            <w:pPr>
              <w:autoSpaceDE w:val="0"/>
              <w:autoSpaceDN w:val="0"/>
              <w:adjustRightInd w:val="0"/>
              <w:rPr>
                <w:sz w:val="24"/>
                <w:szCs w:val="24"/>
              </w:rPr>
            </w:pPr>
            <w:r>
              <w:rPr>
                <w:rFonts w:eastAsia="Calibri"/>
                <w:iCs/>
                <w:color w:val="000000"/>
                <w:sz w:val="24"/>
                <w:szCs w:val="24"/>
                <w:lang w:eastAsia="en-US"/>
              </w:rPr>
              <w:t>Минимальное и/или максимальное количество участников отбора, которые будут включены в Реестр по итогам отбора</w:t>
            </w:r>
          </w:p>
        </w:tc>
        <w:tc>
          <w:tcPr>
            <w:tcW w:w="6390" w:type="dxa"/>
            <w:tcBorders>
              <w:bottom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snapToGrid w:val="0"/>
                <w:sz w:val="24"/>
                <w:szCs w:val="24"/>
              </w:rPr>
            </w:pPr>
            <w:r>
              <w:rPr>
                <w:rFonts w:eastAsia="Arial Unicode MS"/>
                <w:sz w:val="24"/>
                <w:szCs w:val="24"/>
                <w:lang w:eastAsia="zh-CN"/>
              </w:rPr>
              <w:t>Не установлено.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color w:val="000000"/>
                <w:sz w:val="24"/>
                <w:szCs w:val="24"/>
              </w:rPr>
            </w:pPr>
          </w:p>
        </w:tc>
        <w:tc>
          <w:tcPr>
            <w:tcW w:w="3210" w:type="dxa"/>
            <w:tcBorders>
              <w:bottom w:val="single" w:color="auto" w:sz="4" w:space="0"/>
            </w:tcBorders>
            <w:vAlign w:val="center"/>
          </w:tcPr>
          <w:p>
            <w:pPr>
              <w:pStyle w:val="369"/>
              <w:jc w:val="both"/>
              <w:rPr>
                <w:sz w:val="24"/>
              </w:rPr>
            </w:pPr>
            <w:r>
              <w:rPr>
                <w:sz w:val="24"/>
              </w:rPr>
              <w:t>Дополнительный отбор</w:t>
            </w:r>
          </w:p>
        </w:tc>
        <w:tc>
          <w:tcPr>
            <w:tcW w:w="6390" w:type="dxa"/>
            <w:tcBorders>
              <w:bottom w:val="single" w:color="auto" w:sz="4" w:space="0"/>
            </w:tcBorders>
          </w:tcPr>
          <w:p>
            <w:pPr>
              <w:pStyle w:val="370"/>
              <w:jc w:val="both"/>
              <w:rPr>
                <w:b w:val="0"/>
                <w:snapToGrid w:val="0"/>
                <w:sz w:val="24"/>
              </w:rPr>
            </w:pPr>
            <w:r>
              <w:rPr>
                <w:b w:val="0"/>
                <w:snapToGrid w:val="0"/>
                <w:sz w:val="24"/>
              </w:rPr>
              <w:t>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color w:val="000000"/>
                <w:sz w:val="24"/>
                <w:szCs w:val="24"/>
              </w:rPr>
            </w:pPr>
            <w:bookmarkStart w:id="120" w:name="_Ref32449"/>
            <w:bookmarkEnd w:id="120"/>
          </w:p>
        </w:tc>
        <w:tc>
          <w:tcPr>
            <w:tcW w:w="3210" w:type="dxa"/>
            <w:tcBorders>
              <w:bottom w:val="single" w:color="auto" w:sz="4" w:space="0"/>
            </w:tcBorders>
            <w:vAlign w:val="center"/>
          </w:tcPr>
          <w:p>
            <w:pPr>
              <w:pStyle w:val="369"/>
              <w:jc w:val="both"/>
              <w:rPr>
                <w:sz w:val="24"/>
              </w:rPr>
            </w:pPr>
            <w:r>
              <w:rPr>
                <w:sz w:val="24"/>
              </w:rPr>
              <w:t>Использование ЭТП при проведении Отбора</w:t>
            </w:r>
          </w:p>
        </w:tc>
        <w:tc>
          <w:tcPr>
            <w:tcW w:w="6390" w:type="dxa"/>
            <w:tcBorders>
              <w:bottom w:val="single" w:color="auto" w:sz="4" w:space="0"/>
            </w:tcBorders>
          </w:tcPr>
          <w:p>
            <w:pPr>
              <w:pStyle w:val="370"/>
              <w:rPr>
                <w:i/>
                <w:sz w:val="24"/>
                <w:shd w:val="clear" w:color="auto" w:fill="FFFF99"/>
              </w:rPr>
            </w:pPr>
            <w:r>
              <w:rPr>
                <w:b w:val="0"/>
                <w:snapToGrid w:val="0"/>
                <w:sz w:val="24"/>
              </w:rPr>
              <w:t xml:space="preserve">Да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color w:val="000000"/>
                <w:sz w:val="24"/>
                <w:szCs w:val="24"/>
              </w:rPr>
            </w:pPr>
            <w:bookmarkStart w:id="121" w:name="_Ref101"/>
            <w:bookmarkEnd w:id="121"/>
          </w:p>
        </w:tc>
        <w:tc>
          <w:tcPr>
            <w:tcW w:w="3210" w:type="dxa"/>
            <w:tcBorders>
              <w:bottom w:val="single" w:color="auto" w:sz="4" w:space="0"/>
            </w:tcBorders>
            <w:vAlign w:val="center"/>
          </w:tcPr>
          <w:p>
            <w:pPr>
              <w:pStyle w:val="369"/>
              <w:jc w:val="both"/>
              <w:rPr>
                <w:sz w:val="24"/>
              </w:rPr>
            </w:pPr>
            <w:r>
              <w:rPr>
                <w:sz w:val="24"/>
              </w:rPr>
              <w:t>Наименование и адрес ЭТП</w:t>
            </w:r>
          </w:p>
        </w:tc>
        <w:tc>
          <w:tcPr>
            <w:tcW w:w="6390" w:type="dxa"/>
            <w:tcBorders>
              <w:bottom w:val="single" w:color="auto" w:sz="4" w:space="0"/>
            </w:tcBorders>
          </w:tcPr>
          <w:p>
            <w:pPr>
              <w:keepNext/>
              <w:keepLines/>
              <w:rPr>
                <w:i/>
                <w:sz w:val="24"/>
                <w:szCs w:val="24"/>
                <w:shd w:val="clear" w:color="auto" w:fill="FFFF99"/>
              </w:rPr>
            </w:pPr>
            <w:r>
              <w:rPr>
                <w:sz w:val="24"/>
                <w:szCs w:val="24"/>
              </w:rPr>
              <w:t xml:space="preserve">Отбор проводится с помощью Единой электронной торговой площадки Росэлторг </w:t>
            </w:r>
            <w:r>
              <w:fldChar w:fldCharType="begin"/>
            </w:r>
            <w:r>
              <w:instrText xml:space="preserve"> HYPERLINK "https://rushydro.roseltorg.ru/" \o "https://rushydro.roseltorg.ru/" </w:instrText>
            </w:r>
            <w:r>
              <w:fldChar w:fldCharType="separate"/>
            </w:r>
            <w:r>
              <w:rPr>
                <w:rStyle w:val="18"/>
                <w:sz w:val="24"/>
                <w:szCs w:val="24"/>
              </w:rPr>
              <w:t>https://roseltorg.ru/</w:t>
            </w:r>
            <w:r>
              <w:rPr>
                <w:rStyle w:val="18"/>
                <w:sz w:val="24"/>
                <w:szCs w:val="24"/>
              </w:rPr>
              <w:fldChar w:fldCharType="end"/>
            </w:r>
            <w:r>
              <w:rPr>
                <w:color w:val="0000FF"/>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sz w:val="24"/>
                <w:szCs w:val="24"/>
              </w:rPr>
            </w:pPr>
            <w:bookmarkStart w:id="122" w:name="_Ref5971"/>
            <w:bookmarkEnd w:id="122"/>
            <w:bookmarkStart w:id="123" w:name="_Ref2953"/>
            <w:bookmarkEnd w:id="123"/>
          </w:p>
        </w:tc>
        <w:tc>
          <w:tcPr>
            <w:tcW w:w="3210" w:type="dxa"/>
            <w:tcBorders>
              <w:bottom w:val="single" w:color="auto" w:sz="4" w:space="0"/>
            </w:tcBorders>
            <w:vAlign w:val="center"/>
          </w:tcPr>
          <w:p>
            <w:pPr>
              <w:pStyle w:val="369"/>
              <w:jc w:val="both"/>
              <w:rPr>
                <w:sz w:val="24"/>
              </w:rPr>
            </w:pPr>
            <w:r>
              <w:rPr>
                <w:sz w:val="24"/>
              </w:rPr>
              <w:t xml:space="preserve">Место подачи заявок </w:t>
            </w:r>
          </w:p>
        </w:tc>
        <w:tc>
          <w:tcPr>
            <w:tcW w:w="6390" w:type="dxa"/>
            <w:tcBorders>
              <w:bottom w:val="single" w:color="auto" w:sz="4" w:space="0"/>
            </w:tcBorders>
          </w:tcPr>
          <w:p>
            <w:pPr>
              <w:pStyle w:val="369"/>
              <w:rPr>
                <w:snapToGrid w:val="0"/>
                <w:sz w:val="24"/>
              </w:rPr>
            </w:pPr>
            <w:r>
              <w:rPr>
                <w:snapToGrid w:val="0"/>
                <w:sz w:val="24"/>
              </w:rPr>
              <w:t xml:space="preserve">Заявки подаются по адресу ЭТП, указанному в пункте </w:t>
            </w:r>
            <w:r>
              <w:rPr>
                <w:snapToGrid w:val="0"/>
                <w:sz w:val="24"/>
              </w:rPr>
              <w:fldChar w:fldCharType="begin"/>
            </w:r>
            <w:r>
              <w:rPr>
                <w:snapToGrid w:val="0"/>
                <w:sz w:val="24"/>
              </w:rPr>
              <w:instrText xml:space="preserve"> REF _Ref101 \n \h </w:instrText>
            </w:r>
            <w:r>
              <w:rPr>
                <w:snapToGrid w:val="0"/>
                <w:sz w:val="24"/>
              </w:rPr>
              <w:fldChar w:fldCharType="separate"/>
            </w:r>
            <w:r>
              <w:rPr>
                <w:snapToGrid w:val="0"/>
                <w:sz w:val="24"/>
              </w:rPr>
              <w:t>4.2.8</w:t>
            </w:r>
            <w:r>
              <w:rPr>
                <w:snapToGrid w:val="0"/>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sz w:val="24"/>
                <w:szCs w:val="24"/>
              </w:rPr>
            </w:pPr>
          </w:p>
        </w:tc>
        <w:tc>
          <w:tcPr>
            <w:tcW w:w="3210" w:type="dxa"/>
            <w:tcBorders>
              <w:bottom w:val="single" w:color="auto" w:sz="4" w:space="0"/>
            </w:tcBorders>
            <w:vAlign w:val="center"/>
          </w:tcPr>
          <w:p>
            <w:pPr>
              <w:pStyle w:val="369"/>
              <w:jc w:val="both"/>
              <w:rPr>
                <w:sz w:val="24"/>
              </w:rPr>
            </w:pPr>
            <w:r>
              <w:rPr>
                <w:sz w:val="24"/>
              </w:rPr>
              <w:t>Срок предоставления Участникам разъяснений по Документации об отборе</w:t>
            </w:r>
          </w:p>
        </w:tc>
        <w:tc>
          <w:tcPr>
            <w:tcW w:w="6390" w:type="dxa"/>
            <w:tcBorders>
              <w:bottom w:val="single" w:color="auto" w:sz="4" w:space="0"/>
            </w:tcBorders>
          </w:tcPr>
          <w:p>
            <w:pPr>
              <w:rPr>
                <w:sz w:val="24"/>
                <w:szCs w:val="24"/>
              </w:rPr>
            </w:pPr>
            <w:r>
              <w:rPr>
                <w:sz w:val="24"/>
                <w:szCs w:val="24"/>
              </w:rPr>
              <w:t>Дата и время окончания срока предоставления разъяснений:</w:t>
            </w:r>
          </w:p>
          <w:p>
            <w:pPr>
              <w:pStyle w:val="369"/>
              <w:spacing w:after="120"/>
              <w:rPr>
                <w:i/>
                <w:snapToGrid w:val="0"/>
                <w:sz w:val="24"/>
                <w:shd w:val="clear" w:color="auto" w:fill="FFFF99"/>
              </w:rPr>
            </w:pPr>
            <w:r>
              <w:rPr>
                <w:sz w:val="24"/>
              </w:rPr>
              <w:t>«18» декабря 2023г. в 12</w:t>
            </w:r>
            <w:r>
              <w:rPr>
                <w:snapToGrid w:val="0"/>
                <w:sz w:val="24"/>
              </w:rPr>
              <w:t xml:space="preserve"> ч. 00 мин. (по местному времени Заказчика)</w:t>
            </w:r>
          </w:p>
          <w:p>
            <w:pPr>
              <w:jc w:val="both"/>
              <w:rPr>
                <w:b/>
                <w:i/>
                <w:sz w:val="24"/>
                <w:szCs w:val="24"/>
                <w:shd w:val="clear" w:color="auto" w:fill="FFFF99"/>
              </w:rPr>
            </w:pPr>
            <w:r>
              <w:rPr>
                <w:color w:val="000000"/>
                <w:sz w:val="24"/>
                <w:szCs w:val="24"/>
              </w:rPr>
              <w:t>Заказчик вправе оставить без разъяснений запрос, направленный позднее, чем за три дня до окончания срока подачи заявок</w:t>
            </w:r>
            <w:r>
              <w:rPr>
                <w:sz w:val="24"/>
                <w:szCs w:val="24"/>
              </w:rPr>
              <w:t xml:space="preserve">, установленный в пункте </w:t>
            </w:r>
            <w:r>
              <w:rPr>
                <w:sz w:val="24"/>
                <w:szCs w:val="24"/>
              </w:rPr>
              <w:fldChar w:fldCharType="begin"/>
            </w:r>
            <w:r>
              <w:rPr>
                <w:sz w:val="24"/>
                <w:szCs w:val="24"/>
              </w:rPr>
              <w:instrText xml:space="preserve"> REF _Ref2430 \n \h </w:instrText>
            </w:r>
            <w:r>
              <w:rPr>
                <w:sz w:val="24"/>
                <w:szCs w:val="24"/>
              </w:rPr>
              <w:fldChar w:fldCharType="separate"/>
            </w:r>
            <w:r>
              <w:rPr>
                <w:sz w:val="24"/>
                <w:szCs w:val="24"/>
              </w:rPr>
              <w:t>4.2.11</w:t>
            </w:r>
            <w:r>
              <w:rPr>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sz w:val="24"/>
                <w:szCs w:val="24"/>
              </w:rPr>
            </w:pPr>
            <w:bookmarkStart w:id="124" w:name="_Ref2430"/>
            <w:bookmarkEnd w:id="124"/>
          </w:p>
        </w:tc>
        <w:tc>
          <w:tcPr>
            <w:tcW w:w="3210" w:type="dxa"/>
            <w:tcBorders>
              <w:bottom w:val="single" w:color="auto" w:sz="4" w:space="0"/>
            </w:tcBorders>
            <w:vAlign w:val="center"/>
          </w:tcPr>
          <w:p>
            <w:pPr>
              <w:pStyle w:val="369"/>
              <w:jc w:val="both"/>
              <w:rPr>
                <w:sz w:val="24"/>
              </w:rPr>
            </w:pPr>
            <w:r>
              <w:rPr>
                <w:sz w:val="24"/>
              </w:rPr>
              <w:t xml:space="preserve">Дата начала – дата и время окончания срока подачи заявок </w:t>
            </w:r>
          </w:p>
        </w:tc>
        <w:tc>
          <w:tcPr>
            <w:tcW w:w="6390" w:type="dxa"/>
            <w:tcBorders>
              <w:bottom w:val="single" w:color="auto" w:sz="4" w:space="0"/>
            </w:tcBorders>
          </w:tcPr>
          <w:p>
            <w:pPr>
              <w:rPr>
                <w:sz w:val="24"/>
                <w:szCs w:val="24"/>
              </w:rPr>
            </w:pPr>
            <w:r>
              <w:rPr>
                <w:sz w:val="24"/>
                <w:szCs w:val="24"/>
              </w:rPr>
              <w:t>Дата начала подачи заявок:</w:t>
            </w:r>
          </w:p>
          <w:p>
            <w:pPr>
              <w:rPr>
                <w:sz w:val="24"/>
                <w:szCs w:val="24"/>
              </w:rPr>
            </w:pPr>
            <w:r>
              <w:rPr>
                <w:sz w:val="24"/>
                <w:szCs w:val="24"/>
              </w:rPr>
              <w:t xml:space="preserve">«11» декабря 2023г. </w:t>
            </w:r>
          </w:p>
          <w:p>
            <w:pPr>
              <w:rPr>
                <w:sz w:val="24"/>
                <w:szCs w:val="24"/>
              </w:rPr>
            </w:pPr>
          </w:p>
          <w:p>
            <w:pPr>
              <w:rPr>
                <w:sz w:val="24"/>
                <w:szCs w:val="24"/>
              </w:rPr>
            </w:pPr>
            <w:r>
              <w:rPr>
                <w:sz w:val="24"/>
                <w:szCs w:val="24"/>
              </w:rPr>
              <w:t>Дата и время окончания срока подачи заявок:</w:t>
            </w:r>
          </w:p>
          <w:p>
            <w:pPr>
              <w:pStyle w:val="369"/>
              <w:rPr>
                <w:snapToGrid w:val="0"/>
                <w:sz w:val="24"/>
              </w:rPr>
            </w:pPr>
            <w:r>
              <w:rPr>
                <w:sz w:val="24"/>
              </w:rPr>
              <w:t>«21» декабря 2023г. в 09 ч. 00 мин. (по местному времени Заказчика)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sz w:val="24"/>
                <w:szCs w:val="24"/>
              </w:rPr>
            </w:pPr>
          </w:p>
        </w:tc>
        <w:tc>
          <w:tcPr>
            <w:tcW w:w="3210" w:type="dxa"/>
            <w:tcBorders>
              <w:bottom w:val="single" w:color="auto" w:sz="4" w:space="0"/>
            </w:tcBorders>
            <w:vAlign w:val="center"/>
          </w:tcPr>
          <w:p>
            <w:pPr>
              <w:pStyle w:val="369"/>
              <w:jc w:val="both"/>
              <w:rPr>
                <w:sz w:val="24"/>
              </w:rPr>
            </w:pPr>
            <w:r>
              <w:rPr>
                <w:sz w:val="24"/>
              </w:rPr>
              <w:t xml:space="preserve">Место вскрытия конвертов с заявками </w:t>
            </w:r>
          </w:p>
        </w:tc>
        <w:tc>
          <w:tcPr>
            <w:tcW w:w="6390" w:type="dxa"/>
            <w:tcBorders>
              <w:bottom w:val="single" w:color="auto" w:sz="4" w:space="0"/>
            </w:tcBorders>
          </w:tcPr>
          <w:p>
            <w:pPr>
              <w:pStyle w:val="369"/>
              <w:spacing w:after="120"/>
              <w:rPr>
                <w:snapToGrid w:val="0"/>
                <w:sz w:val="24"/>
              </w:rPr>
            </w:pPr>
            <w:r>
              <w:rPr>
                <w:snapToGrid w:val="0"/>
                <w:sz w:val="24"/>
              </w:rPr>
              <w:t>Заявки вскрываются автоматически на ЭТП, расположенной по адресу согласно пункту </w:t>
            </w:r>
            <w:r>
              <w:rPr>
                <w:snapToGrid w:val="0"/>
                <w:sz w:val="24"/>
              </w:rPr>
              <w:fldChar w:fldCharType="begin"/>
            </w:r>
            <w:r>
              <w:rPr>
                <w:snapToGrid w:val="0"/>
                <w:sz w:val="24"/>
              </w:rPr>
              <w:instrText xml:space="preserve"> REF _Ref101 \n \h </w:instrText>
            </w:r>
            <w:r>
              <w:rPr>
                <w:snapToGrid w:val="0"/>
                <w:sz w:val="24"/>
              </w:rPr>
              <w:fldChar w:fldCharType="separate"/>
            </w:r>
            <w:r>
              <w:rPr>
                <w:snapToGrid w:val="0"/>
                <w:sz w:val="24"/>
              </w:rPr>
              <w:t>4.2.8</w:t>
            </w:r>
            <w:r>
              <w:rPr>
                <w:snapToGrid w:val="0"/>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sz w:val="24"/>
                <w:szCs w:val="24"/>
              </w:rPr>
            </w:pPr>
          </w:p>
        </w:tc>
        <w:tc>
          <w:tcPr>
            <w:tcW w:w="3210" w:type="dxa"/>
            <w:tcBorders>
              <w:bottom w:val="single" w:color="auto" w:sz="4" w:space="0"/>
            </w:tcBorders>
            <w:vAlign w:val="center"/>
          </w:tcPr>
          <w:p>
            <w:pPr>
              <w:pStyle w:val="369"/>
              <w:jc w:val="both"/>
              <w:rPr>
                <w:sz w:val="24"/>
              </w:rPr>
            </w:pPr>
            <w:r>
              <w:rPr>
                <w:sz w:val="24"/>
              </w:rPr>
              <w:t xml:space="preserve">Дата окончания рассмотрения заявок </w:t>
            </w:r>
          </w:p>
        </w:tc>
        <w:tc>
          <w:tcPr>
            <w:tcW w:w="6390" w:type="dxa"/>
            <w:tcBorders>
              <w:bottom w:val="single" w:color="auto" w:sz="4" w:space="0"/>
            </w:tcBorders>
          </w:tcPr>
          <w:p>
            <w:pPr>
              <w:rPr>
                <w:sz w:val="24"/>
                <w:szCs w:val="24"/>
              </w:rPr>
            </w:pPr>
            <w:r>
              <w:rPr>
                <w:sz w:val="24"/>
                <w:szCs w:val="24"/>
              </w:rPr>
              <w:t>Дата окончания рассмотрения заявок:</w:t>
            </w:r>
          </w:p>
          <w:p>
            <w:pPr>
              <w:pStyle w:val="369"/>
              <w:spacing w:after="120"/>
              <w:rPr>
                <w:sz w:val="24"/>
              </w:rPr>
            </w:pPr>
            <w:r>
              <w:rPr>
                <w:snapToGrid w:val="0"/>
                <w:sz w:val="24"/>
              </w:rPr>
              <w:t xml:space="preserve">«22» декабря 2023 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tcPr>
          <w:p>
            <w:pPr>
              <w:widowControl w:val="0"/>
              <w:numPr>
                <w:ilvl w:val="2"/>
                <w:numId w:val="10"/>
              </w:numPr>
              <w:tabs>
                <w:tab w:val="clear" w:pos="709"/>
              </w:tabs>
              <w:ind w:left="0" w:firstLine="0"/>
              <w:jc w:val="both"/>
              <w:rPr>
                <w:sz w:val="24"/>
                <w:szCs w:val="24"/>
              </w:rPr>
            </w:pPr>
          </w:p>
        </w:tc>
        <w:tc>
          <w:tcPr>
            <w:tcW w:w="3210" w:type="dxa"/>
            <w:tcBorders>
              <w:bottom w:val="single" w:color="auto" w:sz="4" w:space="0"/>
            </w:tcBorders>
            <w:vAlign w:val="center"/>
          </w:tcPr>
          <w:p>
            <w:pPr>
              <w:pStyle w:val="369"/>
              <w:jc w:val="both"/>
              <w:rPr>
                <w:sz w:val="24"/>
              </w:rPr>
            </w:pPr>
            <w:r>
              <w:rPr>
                <w:sz w:val="24"/>
              </w:rPr>
              <w:t xml:space="preserve">Дата подведения итогов отбора </w:t>
            </w:r>
          </w:p>
        </w:tc>
        <w:tc>
          <w:tcPr>
            <w:tcW w:w="6390" w:type="dxa"/>
            <w:tcBorders>
              <w:bottom w:val="single" w:color="auto" w:sz="4" w:space="0"/>
            </w:tcBorders>
          </w:tcPr>
          <w:p>
            <w:pPr>
              <w:rPr>
                <w:sz w:val="24"/>
                <w:szCs w:val="24"/>
              </w:rPr>
            </w:pPr>
            <w:r>
              <w:rPr>
                <w:sz w:val="24"/>
                <w:szCs w:val="24"/>
              </w:rPr>
              <w:t>Дата подведения итогов:</w:t>
            </w:r>
          </w:p>
          <w:p>
            <w:pPr>
              <w:pStyle w:val="369"/>
              <w:spacing w:after="120"/>
              <w:rPr>
                <w:i/>
                <w:snapToGrid w:val="0"/>
                <w:sz w:val="24"/>
                <w:shd w:val="clear" w:color="auto" w:fill="FFFF99"/>
              </w:rPr>
            </w:pPr>
            <w:r>
              <w:rPr>
                <w:snapToGrid w:val="0"/>
                <w:sz w:val="24"/>
              </w:rPr>
              <w:t>«22» декабря 2023 г.</w:t>
            </w:r>
          </w:p>
        </w:tc>
      </w:tr>
    </w:tbl>
    <w:p>
      <w:pPr>
        <w:rPr>
          <w:b/>
          <w:bCs/>
          <w:sz w:val="24"/>
          <w:szCs w:val="24"/>
        </w:rPr>
      </w:pPr>
      <w:bookmarkStart w:id="125" w:name="_Ref102"/>
      <w:bookmarkEnd w:id="125"/>
      <w:bookmarkStart w:id="126" w:name="_Ref26720"/>
      <w:bookmarkEnd w:id="126"/>
      <w:bookmarkStart w:id="127" w:name="_Ref556"/>
      <w:bookmarkEnd w:id="127"/>
      <w:bookmarkStart w:id="128" w:name="_Ref30614"/>
      <w:bookmarkEnd w:id="128"/>
    </w:p>
    <w:p>
      <w:pPr>
        <w:spacing w:after="200" w:line="276" w:lineRule="auto"/>
        <w:rPr>
          <w:rFonts w:eastAsia="Arial Unicode MS"/>
          <w:b/>
          <w:color w:val="000000" w:themeColor="text1"/>
          <w:sz w:val="24"/>
          <w:szCs w:val="24"/>
          <w:highlight w:val="cyan"/>
          <w:lang w:eastAsia="zh-CN"/>
          <w14:textFill>
            <w14:solidFill>
              <w14:schemeClr w14:val="tx1"/>
            </w14:solidFill>
          </w14:textFill>
        </w:rPr>
      </w:pPr>
      <w:r>
        <w:rPr>
          <w:rFonts w:eastAsia="Arial Unicode MS"/>
          <w:b/>
          <w:sz w:val="22"/>
          <w:szCs w:val="22"/>
          <w:lang w:eastAsia="zh-CN"/>
        </w:rPr>
        <w:br w:type="page"/>
      </w:r>
    </w:p>
    <w:p>
      <w:pPr>
        <w:rPr>
          <w:rFonts w:eastAsia="Arial Unicode MS"/>
          <w:sz w:val="22"/>
          <w:szCs w:val="22"/>
          <w:lang w:eastAsia="zh-CN"/>
        </w:rPr>
        <w:sectPr>
          <w:footerReference r:id="rId4" w:type="default"/>
          <w:pgSz w:w="11906" w:h="16838"/>
          <w:pgMar w:top="1134" w:right="707" w:bottom="1276" w:left="1276" w:header="425" w:footer="301" w:gutter="0"/>
          <w:cols w:space="708" w:num="1"/>
          <w:titlePg/>
          <w:docGrid w:linePitch="360" w:charSpace="0"/>
        </w:sectPr>
      </w:pPr>
    </w:p>
    <w:p>
      <w:pPr>
        <w:numPr>
          <w:ilvl w:val="0"/>
          <w:numId w:val="10"/>
        </w:numPr>
        <w:pBdr>
          <w:top w:val="none" w:color="000000" w:sz="0" w:space="0"/>
          <w:left w:val="none" w:color="000000" w:sz="0" w:space="0"/>
          <w:bottom w:val="none" w:color="000000" w:sz="0" w:space="0"/>
          <w:right w:val="none" w:color="000000" w:sz="0" w:space="0"/>
        </w:pBdr>
        <w:tabs>
          <w:tab w:val="left" w:pos="2127"/>
          <w:tab w:val="left" w:pos="4020"/>
          <w:tab w:val="clear" w:pos="425"/>
        </w:tabs>
        <w:suppressAutoHyphens/>
        <w:jc w:val="center"/>
        <w:rPr>
          <w:rFonts w:eastAsia="Arial Unicode MS"/>
          <w:b/>
          <w:color w:val="000000" w:themeColor="text1"/>
          <w:sz w:val="22"/>
          <w:szCs w:val="22"/>
          <w:lang w:eastAsia="zh-CN"/>
          <w14:textFill>
            <w14:solidFill>
              <w14:schemeClr w14:val="tx1"/>
            </w14:solidFill>
          </w14:textFill>
        </w:rPr>
      </w:pPr>
      <w:r>
        <w:rPr>
          <w:rFonts w:eastAsia="Arial Unicode MS"/>
          <w:b/>
          <w:color w:val="000000" w:themeColor="text1"/>
          <w:sz w:val="22"/>
          <w:szCs w:val="22"/>
          <w:lang w:eastAsia="zh-CN"/>
          <w14:textFill>
            <w14:solidFill>
              <w14:schemeClr w14:val="tx1"/>
            </w14:solidFill>
          </w14:textFill>
        </w:rPr>
        <w:t xml:space="preserve"> СПЕЦИАЛЬНЫЕ И КВАЛИФИКАЦИОННЫЕ ТРЕБОВАНИЯ (ПОКАЗАТЕЛИ), ТРЕБОВАНИЯ К ДОКУМЕНТАМ, ПОДТВЕРЖДАЮЩИМ СООТВЕТСТВИЕ УЧАСТНИКА УСТАНОВЛЕННЫМ ТРЕБОВАНИЯМ</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b/>
          <w:sz w:val="22"/>
          <w:szCs w:val="22"/>
          <w:lang w:eastAsia="zh-CN"/>
        </w:rPr>
      </w:pPr>
    </w:p>
    <w:p>
      <w:pPr>
        <w:pStyle w:val="3"/>
        <w:keepLines w:val="0"/>
        <w:widowControl w:val="0"/>
        <w:numPr>
          <w:ilvl w:val="1"/>
          <w:numId w:val="10"/>
        </w:numPr>
        <w:tabs>
          <w:tab w:val="left" w:pos="6663"/>
          <w:tab w:val="clear" w:pos="567"/>
        </w:tabs>
        <w:spacing w:before="0"/>
        <w:rPr>
          <w:rFonts w:ascii="Times New Roman" w:hAnsi="Times New Roman" w:cs="Times New Roman"/>
          <w:b/>
          <w:bCs/>
          <w:color w:val="auto"/>
          <w:sz w:val="24"/>
          <w:szCs w:val="24"/>
        </w:rPr>
      </w:pPr>
      <w:bookmarkStart w:id="129" w:name="_Ref25245"/>
      <w:r>
        <w:rPr>
          <w:rFonts w:ascii="Times New Roman" w:hAnsi="Times New Roman" w:cs="Times New Roman"/>
          <w:b/>
          <w:bCs/>
          <w:color w:val="auto"/>
          <w:sz w:val="24"/>
          <w:szCs w:val="24"/>
        </w:rPr>
        <w:t>Специальные требования</w:t>
      </w:r>
      <w:bookmarkEnd w:id="129"/>
    </w:p>
    <w:tbl>
      <w:tblPr>
        <w:tblStyle w:val="12"/>
        <w:tblW w:w="14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6427"/>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jc w:val="center"/>
              <w:rPr>
                <w:b/>
                <w:sz w:val="24"/>
                <w:szCs w:val="24"/>
              </w:rPr>
            </w:pPr>
            <w:r>
              <w:rPr>
                <w:b/>
                <w:sz w:val="24"/>
                <w:szCs w:val="24"/>
              </w:rPr>
              <w:t>№ п/п</w:t>
            </w:r>
          </w:p>
        </w:tc>
        <w:tc>
          <w:tcPr>
            <w:tcW w:w="6427" w:type="dxa"/>
          </w:tcPr>
          <w:p>
            <w:pPr>
              <w:jc w:val="center"/>
              <w:rPr>
                <w:b/>
                <w:sz w:val="24"/>
                <w:szCs w:val="24"/>
              </w:rPr>
            </w:pPr>
            <w:r>
              <w:rPr>
                <w:b/>
                <w:sz w:val="24"/>
                <w:szCs w:val="24"/>
              </w:rPr>
              <w:t>Требования к Участникам</w:t>
            </w:r>
          </w:p>
        </w:tc>
        <w:tc>
          <w:tcPr>
            <w:tcW w:w="7575" w:type="dxa"/>
          </w:tcPr>
          <w:p>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bookmarkStart w:id="130" w:name="_Ref513806854"/>
            <w:r>
              <w:rPr>
                <w:sz w:val="24"/>
                <w:szCs w:val="24"/>
              </w:rPr>
              <w:t>5.1.1</w:t>
            </w:r>
          </w:p>
          <w:bookmarkEnd w:id="130"/>
        </w:tc>
        <w:tc>
          <w:tcPr>
            <w:tcW w:w="6427" w:type="dxa"/>
          </w:tcPr>
          <w:p>
            <w:pPr>
              <w:ind w:firstLine="567"/>
              <w:jc w:val="both"/>
              <w:rPr>
                <w:sz w:val="24"/>
                <w:szCs w:val="24"/>
              </w:rPr>
            </w:pPr>
            <w:r>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w:t>
            </w:r>
          </w:p>
          <w:p>
            <w:pPr>
              <w:rPr>
                <w:sz w:val="24"/>
                <w:szCs w:val="24"/>
              </w:rPr>
            </w:pPr>
          </w:p>
        </w:tc>
        <w:tc>
          <w:tcPr>
            <w:tcW w:w="7575" w:type="dxa"/>
          </w:tcPr>
          <w:p>
            <w:pPr>
              <w:widowControl w:val="0"/>
              <w:jc w:val="both"/>
              <w:rPr>
                <w:sz w:val="24"/>
                <w:szCs w:val="24"/>
              </w:rPr>
            </w:pPr>
            <w:r>
              <w:rPr>
                <w:sz w:val="24"/>
                <w:szCs w:val="24"/>
              </w:rPr>
              <w:t>В соответствии с частью 2 статьи 52 Градостроительного кодекса Российской Федерации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 выписка из реестра членов саморегулируемой организации (СРО) в области строительства, реконструкции, капитального ремонта, сноса объектов капитального строительства по форме, утвержденной Приказом Ростехнадзора от 04.03.2019 № 86. В соответствии с ч.4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(за исключением случаев, предусмотренных ч.2.2 ст.52 Градостроительного кодекса Российской Федерации от 29.12.2004 №190-ФЗ).</w:t>
            </w:r>
          </w:p>
          <w:p>
            <w:pPr>
              <w:widowControl w:val="0"/>
              <w:jc w:val="both"/>
              <w:rPr>
                <w:sz w:val="24"/>
                <w:szCs w:val="24"/>
              </w:rPr>
            </w:pPr>
            <w:r>
              <w:rPr>
                <w:sz w:val="24"/>
                <w:szCs w:val="24"/>
              </w:rPr>
              <w:t>Уровень ответственности члена саморегулируемой организации по договору подряда в области строительства, реконструкции, капитального ремонта, сноса объектов капитального строительства, заключенного с использованием конкурентных способов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быть не ниже второго (При подачи заявки коллективным участником - уровни ответственности членов саморегулируемой организации, подтвержденные выписками из реестра членов саморегулируемой организации по договору подряда в области строительства, реконструкции, капитального ремонта должен быть не ниже второго для ответственного участника, и не ниже первого уровня для остальных участников, входящих в состав коллективного участника).</w:t>
            </w:r>
          </w:p>
        </w:tc>
      </w:tr>
    </w:tbl>
    <w:p>
      <w:pPr>
        <w:pStyle w:val="3"/>
        <w:keepLines w:val="0"/>
        <w:numPr>
          <w:ilvl w:val="1"/>
          <w:numId w:val="0"/>
        </w:numPr>
        <w:tabs>
          <w:tab w:val="left" w:pos="6663"/>
          <w:tab w:val="clear" w:pos="360"/>
        </w:tabs>
        <w:spacing w:before="0"/>
        <w:ind w:left="1134"/>
        <w:rPr>
          <w:rFonts w:ascii="Times New Roman" w:hAnsi="Times New Roman" w:cs="Times New Roman"/>
          <w:color w:val="auto"/>
          <w:sz w:val="24"/>
          <w:szCs w:val="24"/>
        </w:rPr>
      </w:pPr>
      <w:bookmarkStart w:id="131" w:name="_Toc515659391"/>
      <w:bookmarkEnd w:id="131"/>
      <w:bookmarkStart w:id="132" w:name="_Toc515659399"/>
      <w:bookmarkEnd w:id="132"/>
      <w:bookmarkStart w:id="133" w:name="_Toc31046812"/>
      <w:bookmarkStart w:id="134" w:name="_Ref514618002"/>
      <w:bookmarkStart w:id="135" w:name="_Toc514814132"/>
      <w:bookmarkStart w:id="136" w:name="_Ref513730023"/>
      <w:bookmarkStart w:id="137" w:name="_Toc514805487"/>
    </w:p>
    <w:p>
      <w:pPr>
        <w:pStyle w:val="3"/>
        <w:keepLines w:val="0"/>
        <w:numPr>
          <w:ilvl w:val="1"/>
          <w:numId w:val="10"/>
        </w:numPr>
        <w:tabs>
          <w:tab w:val="left" w:pos="6663"/>
          <w:tab w:val="clear" w:pos="567"/>
        </w:tabs>
        <w:spacing w:before="0"/>
        <w:jc w:val="both"/>
        <w:rPr>
          <w:rFonts w:ascii="Times New Roman" w:hAnsi="Times New Roman" w:cs="Times New Roman"/>
          <w:b/>
          <w:bCs/>
          <w:color w:val="auto"/>
          <w:sz w:val="24"/>
          <w:szCs w:val="24"/>
        </w:rPr>
      </w:pPr>
      <w:bookmarkStart w:id="138" w:name="_Ref25343"/>
      <w:r>
        <w:rPr>
          <w:rFonts w:ascii="Times New Roman" w:hAnsi="Times New Roman" w:cs="Times New Roman"/>
          <w:b/>
          <w:bCs/>
          <w:color w:val="auto"/>
          <w:sz w:val="24"/>
          <w:szCs w:val="24"/>
        </w:rPr>
        <w:t>Квалификационные требования</w:t>
      </w:r>
      <w:bookmarkEnd w:id="133"/>
      <w:bookmarkEnd w:id="134"/>
      <w:bookmarkEnd w:id="135"/>
      <w:bookmarkEnd w:id="136"/>
      <w:bookmarkEnd w:id="137"/>
      <w:bookmarkEnd w:id="138"/>
    </w:p>
    <w:tbl>
      <w:tblPr>
        <w:tblStyle w:val="12"/>
        <w:tblW w:w="14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5973"/>
        <w:gridCol w:w="8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keepNext/>
              <w:jc w:val="center"/>
              <w:rPr>
                <w:b/>
                <w:sz w:val="24"/>
                <w:szCs w:val="24"/>
              </w:rPr>
            </w:pPr>
            <w:r>
              <w:rPr>
                <w:b/>
                <w:sz w:val="24"/>
                <w:szCs w:val="24"/>
              </w:rPr>
              <w:t>№ п/п</w:t>
            </w:r>
          </w:p>
        </w:tc>
        <w:tc>
          <w:tcPr>
            <w:tcW w:w="5973" w:type="dxa"/>
            <w:vAlign w:val="center"/>
          </w:tcPr>
          <w:p>
            <w:pPr>
              <w:keepNext/>
              <w:jc w:val="center"/>
              <w:rPr>
                <w:b/>
                <w:sz w:val="24"/>
                <w:szCs w:val="24"/>
              </w:rPr>
            </w:pPr>
            <w:r>
              <w:rPr>
                <w:b/>
                <w:sz w:val="24"/>
                <w:szCs w:val="24"/>
              </w:rPr>
              <w:t>Требования к Участникам</w:t>
            </w:r>
          </w:p>
        </w:tc>
        <w:tc>
          <w:tcPr>
            <w:tcW w:w="8031" w:type="dxa"/>
            <w:vAlign w:val="center"/>
          </w:tcPr>
          <w:p>
            <w:pPr>
              <w:keepNext/>
              <w:jc w:val="center"/>
              <w:rPr>
                <w:b/>
                <w:sz w:val="24"/>
                <w:szCs w:val="24"/>
              </w:rPr>
            </w:pPr>
            <w:r>
              <w:rPr>
                <w:b/>
                <w:sz w:val="24"/>
                <w:szCs w:val="24"/>
              </w:rPr>
              <w:t>Предмет оценки, 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5.2.1</w:t>
            </w:r>
          </w:p>
        </w:tc>
        <w:tc>
          <w:tcPr>
            <w:tcW w:w="5973" w:type="dxa"/>
          </w:tcPr>
          <w:p>
            <w:pPr>
              <w:tabs>
                <w:tab w:val="left" w:pos="420"/>
                <w:tab w:val="left" w:pos="600"/>
                <w:tab w:val="left" w:pos="800"/>
              </w:tabs>
              <w:suppressAutoHyphens/>
              <w:ind w:left="580"/>
              <w:jc w:val="both"/>
              <w:rPr>
                <w:rFonts w:eastAsia="Arial Unicode MS"/>
                <w:i/>
                <w:sz w:val="24"/>
                <w:szCs w:val="24"/>
                <w:lang w:eastAsia="zh-CN"/>
              </w:rPr>
            </w:pPr>
            <w:r>
              <w:rPr>
                <w:sz w:val="24"/>
                <w:szCs w:val="24"/>
              </w:rPr>
              <w:t>Не установлено</w:t>
            </w:r>
          </w:p>
        </w:tc>
        <w:tc>
          <w:tcPr>
            <w:tcW w:w="8031" w:type="dxa"/>
          </w:tcPr>
          <w:p>
            <w:pPr>
              <w:rPr>
                <w:b/>
                <w:i/>
                <w:szCs w:val="24"/>
                <w:shd w:val="clear" w:color="auto" w:fill="FFFF99"/>
              </w:rPr>
            </w:pPr>
            <w:r>
              <w:rPr>
                <w:rFonts w:eastAsia="Arial Unicode MS"/>
                <w:sz w:val="24"/>
                <w:szCs w:val="24"/>
                <w:lang w:eastAsia="en-US"/>
              </w:rPr>
              <w:t>Не требуется</w:t>
            </w:r>
          </w:p>
        </w:tc>
      </w:tr>
    </w:tbl>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bookmarkStart w:id="139" w:name="Par1308"/>
      <w:bookmarkEnd w:id="139"/>
      <w:bookmarkStart w:id="140" w:name="Par1298"/>
      <w:bookmarkEnd w:id="140"/>
      <w:bookmarkStart w:id="141" w:name="Par1299"/>
      <w:bookmarkEnd w:id="141"/>
      <w:bookmarkStart w:id="142" w:name="Par1302"/>
      <w:bookmarkEnd w:id="142"/>
      <w:bookmarkStart w:id="143" w:name="Par1301"/>
      <w:bookmarkEnd w:id="143"/>
      <w:bookmarkStart w:id="144" w:name="Par1297"/>
      <w:bookmarkEnd w:id="144"/>
      <w:bookmarkStart w:id="145" w:name="Par1300"/>
      <w:bookmarkEnd w:id="145"/>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sectPr>
          <w:pgSz w:w="16838" w:h="11906" w:orient="landscape"/>
          <w:pgMar w:top="1276" w:right="1134" w:bottom="707" w:left="1276" w:header="425" w:footer="301" w:gutter="0"/>
          <w:cols w:space="708" w:num="1"/>
          <w:titlePg/>
          <w:docGrid w:linePitch="360" w:charSpace="0"/>
        </w:sect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РАЗДЕЛ 6. ОБРАЗЦЫ ОСНОВНЫХ ФОРМ ДОКУМЕНТОВ, ВКЛЮЧАЕМЫХ В ЗАЯВКУ</w:t>
      </w:r>
    </w:p>
    <w:p>
      <w:pPr>
        <w:pStyle w:val="149"/>
        <w:pBdr>
          <w:top w:val="none" w:color="000000" w:sz="0" w:space="0"/>
          <w:left w:val="none" w:color="000000" w:sz="0" w:space="0"/>
          <w:bottom w:val="none" w:color="000000" w:sz="0" w:space="0"/>
          <w:right w:val="none" w:color="000000" w:sz="0" w:space="0"/>
        </w:pBdr>
        <w:suppressAutoHyphens/>
        <w:ind w:left="360"/>
        <w:jc w:val="center"/>
        <w:rPr>
          <w:rFonts w:eastAsia="Arial Unicode MS"/>
          <w:b/>
          <w:sz w:val="24"/>
          <w:szCs w:val="24"/>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6.1 Форма «Опись документов,</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 предоставляемых для участия в предварительном квалификационном отборе»</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709"/>
        <w:jc w:val="both"/>
        <w:rPr>
          <w:sz w:val="22"/>
          <w:szCs w:val="22"/>
        </w:rPr>
      </w:pPr>
      <w:r>
        <w:rPr>
          <w:sz w:val="22"/>
          <w:szCs w:val="22"/>
        </w:rPr>
        <w:t xml:space="preserve">Настоящим </w:t>
      </w:r>
      <w:r>
        <w:rPr>
          <w:i/>
          <w:sz w:val="22"/>
          <w:szCs w:val="22"/>
        </w:rPr>
        <w:t>(указывается полное наименование участника)</w:t>
      </w:r>
      <w:r>
        <w:rPr>
          <w:sz w:val="22"/>
          <w:szCs w:val="22"/>
        </w:rPr>
        <w:t xml:space="preserve"> подтверждает, что для участия (</w:t>
      </w:r>
      <w:r>
        <w:rPr>
          <w:i/>
          <w:iCs/>
          <w:sz w:val="22"/>
          <w:szCs w:val="22"/>
        </w:rPr>
        <w:t>указывается наименование отбора</w:t>
      </w:r>
      <w:r>
        <w:rPr>
          <w:sz w:val="22"/>
          <w:szCs w:val="22"/>
        </w:rPr>
        <w:t>) в составе заявки направляются нижеперечисленные документы.</w:t>
      </w:r>
    </w:p>
    <w:p>
      <w:pPr>
        <w:pBdr>
          <w:top w:val="none" w:color="000000" w:sz="0" w:space="0"/>
          <w:left w:val="none" w:color="000000" w:sz="0" w:space="0"/>
          <w:bottom w:val="none" w:color="000000" w:sz="0" w:space="0"/>
          <w:right w:val="none" w:color="000000" w:sz="0" w:space="0"/>
        </w:pBdr>
        <w:suppressAutoHyphens/>
        <w:ind w:firstLine="709"/>
        <w:rPr>
          <w:sz w:val="22"/>
          <w:szCs w:val="22"/>
        </w:rPr>
      </w:pPr>
      <w:r>
        <w:rPr>
          <w:sz w:val="22"/>
          <w:szCs w:val="22"/>
        </w:rPr>
        <w:t xml:space="preserve"> Содержание описи и состав заявки на участие в предварительном квалификационном отборе совпадают.</w:t>
      </w:r>
    </w:p>
    <w:p>
      <w:pPr>
        <w:pBdr>
          <w:top w:val="none" w:color="000000" w:sz="0" w:space="0"/>
          <w:left w:val="none" w:color="000000" w:sz="0" w:space="0"/>
          <w:bottom w:val="none" w:color="000000" w:sz="0" w:space="0"/>
          <w:right w:val="none" w:color="000000" w:sz="0" w:space="0"/>
        </w:pBdr>
        <w:suppressAutoHyphens/>
        <w:rPr>
          <w:sz w:val="22"/>
          <w:szCs w:val="22"/>
        </w:rPr>
      </w:pPr>
    </w:p>
    <w:tbl>
      <w:tblPr>
        <w:tblStyle w:val="356"/>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09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Наименование документа, входящего в состав заявки</w:t>
            </w: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Количество листов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r>
        <w:rPr>
          <w:rFonts w:eastAsia="Arial Unicode MS"/>
          <w:sz w:val="22"/>
          <w:szCs w:val="22"/>
          <w:lang w:val="en-US"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 xml:space="preserve">(должность представителя участника )   </w:t>
      </w:r>
      <w:bookmarkStart w:id="147" w:name="_GoBack"/>
      <w:bookmarkEnd w:id="147"/>
      <w:r>
        <w:rPr>
          <w:rFonts w:eastAsia="Arial Unicode MS"/>
          <w:i/>
          <w:sz w:val="22"/>
          <w:szCs w:val="22"/>
          <w:lang w:eastAsia="zh-CN"/>
        </w:rPr>
        <w:t xml:space="preserve">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suppressAutoHyphens/>
        <w:ind w:firstLine="709"/>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6.2. Форма заявки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r>
        <w:rPr>
          <w:rFonts w:eastAsia="Arial Unicode MS"/>
          <w:i/>
          <w:sz w:val="22"/>
          <w:szCs w:val="22"/>
          <w:lang w:eastAsia="zh-CN"/>
        </w:rPr>
        <w:t>(оформляется на фирменном бланке участника)</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sz w:val="22"/>
          <w:szCs w:val="22"/>
          <w:lang w:eastAsia="zh-CN"/>
        </w:rPr>
      </w:pPr>
      <w:r>
        <w:rPr>
          <w:rFonts w:eastAsia="Arial Unicode MS"/>
          <w:sz w:val="22"/>
          <w:szCs w:val="22"/>
          <w:lang w:eastAsia="zh-CN"/>
        </w:rPr>
        <w:t xml:space="preserve">Исх. № __________                          </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w:t>
      </w:r>
      <w:r>
        <w:rPr>
          <w:rFonts w:eastAsia="Arial Unicode MS"/>
          <w:sz w:val="22"/>
          <w:szCs w:val="22"/>
          <w:lang w:eastAsia="zh-CN"/>
        </w:rPr>
        <w:t>«____» __________ 202__г.</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Заявка на участие в предварительном квалификационном отборе</w:t>
      </w:r>
    </w:p>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r>
        <w:rPr>
          <w:rFonts w:eastAsia="Arial Unicode MS"/>
          <w:sz w:val="22"/>
          <w:szCs w:val="22"/>
          <w:lang w:eastAsia="zh-CN"/>
        </w:rPr>
        <w:t>Сведения об участнике предварительного квалификационного отбора:</w:t>
      </w:r>
    </w:p>
    <w:tbl>
      <w:tblPr>
        <w:tblStyle w:val="12"/>
        <w:tblW w:w="4749"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9"/>
        <w:gridCol w:w="4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91" w:type="dxa"/>
            <w:gridSpan w:val="2"/>
            <w:vAlign w:val="center"/>
          </w:tcPr>
          <w:p>
            <w:pPr>
              <w:widowControl w:val="0"/>
              <w:jc w:val="center"/>
              <w:rPr>
                <w:rFonts w:eastAsia="Arial Unicode MS"/>
                <w:b/>
                <w:bCs/>
                <w:sz w:val="22"/>
                <w:szCs w:val="22"/>
                <w:lang w:eastAsia="zh-CN"/>
              </w:rPr>
            </w:pPr>
            <w:r>
              <w:rPr>
                <w:rFonts w:eastAsia="Arial Unicode MS"/>
                <w:b/>
                <w:bCs/>
                <w:sz w:val="22"/>
                <w:szCs w:val="22"/>
                <w:lang w:eastAsia="zh-CN"/>
              </w:rPr>
              <w:t>Сведения об участнике</w:t>
            </w:r>
          </w:p>
          <w:p>
            <w:pPr>
              <w:widowControl w:val="0"/>
              <w:jc w:val="center"/>
              <w:rPr>
                <w:rFonts w:eastAsia="Arial Unicode MS"/>
                <w:b/>
                <w:bCs/>
                <w:sz w:val="22"/>
                <w:szCs w:val="22"/>
                <w:lang w:eastAsia="zh-CN"/>
              </w:rPr>
            </w:pPr>
            <w:r>
              <w:rPr>
                <w:rFonts w:eastAsia="Arial Unicode MS"/>
                <w:i/>
                <w:sz w:val="22"/>
                <w:szCs w:val="22"/>
                <w:lang w:eastAsia="zh-CN"/>
              </w:rPr>
              <w:t>(обязательно заполняются участником)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tcPr>
          <w:p>
            <w:pPr>
              <w:widowControl w:val="0"/>
              <w:rPr>
                <w:rFonts w:eastAsia="Arial Unicode MS"/>
                <w:sz w:val="22"/>
                <w:szCs w:val="22"/>
                <w:lang w:eastAsia="zh-CN"/>
              </w:rPr>
            </w:pPr>
            <w:r>
              <w:rPr>
                <w:rFonts w:eastAsia="Arial Unicode MS"/>
                <w:sz w:val="22"/>
                <w:szCs w:val="22"/>
                <w:lang w:eastAsia="zh-CN"/>
              </w:rPr>
              <w:t>Наименование, организационно-правовая форма (для юридического лица), ФИО (для физического лица)</w:t>
            </w:r>
          </w:p>
        </w:tc>
        <w:tc>
          <w:tcPr>
            <w:tcW w:w="4242" w:type="dxa"/>
          </w:tcPr>
          <w:p>
            <w:pPr>
              <w:widowControl w:val="0"/>
              <w:jc w:val="center"/>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tcPr>
          <w:p>
            <w:pPr>
              <w:widowControl w:val="0"/>
              <w:rPr>
                <w:rFonts w:eastAsia="Arial Unicode MS"/>
                <w:sz w:val="22"/>
                <w:szCs w:val="22"/>
                <w:lang w:eastAsia="zh-CN"/>
              </w:rPr>
            </w:pPr>
            <w:r>
              <w:rPr>
                <w:rFonts w:eastAsia="Arial Unicode MS"/>
                <w:sz w:val="22"/>
                <w:szCs w:val="22"/>
                <w:lang w:eastAsia="zh-CN"/>
              </w:rPr>
              <w:t>Место нахождения/почтовый адрес (для юридического лица), место жительства (для физического лица)</w:t>
            </w:r>
          </w:p>
        </w:tc>
        <w:tc>
          <w:tcPr>
            <w:tcW w:w="4242" w:type="dxa"/>
          </w:tcPr>
          <w:p>
            <w:pPr>
              <w:widowControl w:val="0"/>
              <w:jc w:val="center"/>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keepNext/>
              <w:keepLines/>
              <w:widowControl w:val="0"/>
              <w:tabs>
                <w:tab w:val="left" w:pos="180"/>
                <w:tab w:val="left" w:pos="1440"/>
                <w:tab w:val="left" w:pos="1800"/>
              </w:tabs>
              <w:jc w:val="both"/>
              <w:rPr>
                <w:bCs/>
                <w:sz w:val="22"/>
                <w:szCs w:val="22"/>
              </w:rPr>
            </w:pPr>
            <w:r>
              <w:rPr>
                <w:bCs/>
                <w:sz w:val="22"/>
                <w:szCs w:val="22"/>
              </w:rPr>
              <w:t>Фактическое местоположение</w:t>
            </w:r>
          </w:p>
        </w:tc>
        <w:tc>
          <w:tcPr>
            <w:tcW w:w="4242" w:type="dxa"/>
            <w:vAlign w:val="center"/>
          </w:tcPr>
          <w:p>
            <w:pPr>
              <w:keepNext/>
              <w:keepLines/>
              <w:widowControl w:val="0"/>
              <w:tabs>
                <w:tab w:val="left" w:pos="180"/>
                <w:tab w:val="left" w:pos="1440"/>
                <w:tab w:val="left" w:pos="1800"/>
              </w:tabs>
              <w:jc w:val="both"/>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tcPr>
          <w:p>
            <w:pPr>
              <w:widowControl w:val="0"/>
              <w:rPr>
                <w:rFonts w:eastAsia="Arial Unicode MS"/>
                <w:sz w:val="22"/>
                <w:szCs w:val="22"/>
                <w:lang w:val="en-US" w:eastAsia="zh-CN"/>
              </w:rPr>
            </w:pPr>
            <w:r>
              <w:rPr>
                <w:rFonts w:eastAsia="Arial Unicode MS"/>
                <w:sz w:val="22"/>
                <w:szCs w:val="22"/>
                <w:lang w:val="en-US" w:eastAsia="zh-CN"/>
              </w:rPr>
              <w:t>ИНН / КПП</w:t>
            </w:r>
          </w:p>
        </w:tc>
        <w:tc>
          <w:tcPr>
            <w:tcW w:w="4242" w:type="dxa"/>
          </w:tcPr>
          <w:p>
            <w:pPr>
              <w:widowControl w:val="0"/>
              <w:jc w:val="center"/>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widowControl w:val="0"/>
              <w:rPr>
                <w:rFonts w:eastAsia="Arial Unicode MS"/>
                <w:sz w:val="22"/>
                <w:szCs w:val="22"/>
                <w:lang w:val="en-US" w:eastAsia="zh-CN"/>
              </w:rPr>
            </w:pPr>
            <w:r>
              <w:rPr>
                <w:rFonts w:eastAsia="Arial Unicode MS"/>
                <w:sz w:val="22"/>
                <w:szCs w:val="22"/>
                <w:lang w:val="en-US" w:eastAsia="zh-CN"/>
              </w:rPr>
              <w:t>ОГРН/ОГРНИП</w:t>
            </w:r>
          </w:p>
        </w:tc>
        <w:tc>
          <w:tcPr>
            <w:tcW w:w="4242" w:type="dxa"/>
          </w:tcPr>
          <w:p>
            <w:pPr>
              <w:widowControl w:val="0"/>
              <w:jc w:val="center"/>
              <w:rPr>
                <w:rFonts w:eastAsia="Arial Unicode MS"/>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widowControl w:val="0"/>
              <w:rPr>
                <w:rFonts w:eastAsia="Arial Unicode MS"/>
                <w:sz w:val="22"/>
                <w:szCs w:val="22"/>
                <w:lang w:val="en-US" w:eastAsia="zh-CN"/>
              </w:rPr>
            </w:pPr>
            <w:r>
              <w:rPr>
                <w:rFonts w:eastAsia="Arial Unicode MS"/>
                <w:sz w:val="22"/>
                <w:szCs w:val="22"/>
                <w:lang w:val="en-US" w:eastAsia="zh-CN"/>
              </w:rPr>
              <w:t>ОКПО</w:t>
            </w:r>
          </w:p>
        </w:tc>
        <w:tc>
          <w:tcPr>
            <w:tcW w:w="4242" w:type="dxa"/>
            <w:vAlign w:val="center"/>
          </w:tcPr>
          <w:p>
            <w:pPr>
              <w:widowControl w:val="0"/>
              <w:jc w:val="center"/>
              <w:rPr>
                <w:rFonts w:eastAsia="Arial Unicode MS"/>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widowControl w:val="0"/>
              <w:rPr>
                <w:rFonts w:eastAsia="Arial Unicode MS"/>
                <w:sz w:val="22"/>
                <w:szCs w:val="22"/>
                <w:lang w:eastAsia="zh-CN"/>
              </w:rPr>
            </w:pPr>
            <w:r>
              <w:rPr>
                <w:bCs/>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4242" w:type="dxa"/>
            <w:vAlign w:val="center"/>
          </w:tcPr>
          <w:p>
            <w:pPr>
              <w:widowControl w:val="0"/>
              <w:jc w:val="center"/>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keepNext/>
              <w:keepLines/>
              <w:widowControl w:val="0"/>
              <w:tabs>
                <w:tab w:val="left" w:pos="180"/>
                <w:tab w:val="left" w:pos="1440"/>
                <w:tab w:val="left" w:pos="1800"/>
              </w:tabs>
              <w:jc w:val="both"/>
              <w:rPr>
                <w:bCs/>
                <w:sz w:val="22"/>
                <w:szCs w:val="22"/>
              </w:rPr>
            </w:pPr>
            <w:r>
              <w:rPr>
                <w:bCs/>
                <w:sz w:val="22"/>
                <w:szCs w:val="22"/>
              </w:rPr>
              <w:t>Банковские реквизиты (наименование и адрес банка, номер расчетного счета, номер корреспондентского счета, БИК)</w:t>
            </w:r>
          </w:p>
        </w:tc>
        <w:tc>
          <w:tcPr>
            <w:tcW w:w="4242" w:type="dxa"/>
            <w:vAlign w:val="center"/>
          </w:tcPr>
          <w:p>
            <w:pPr>
              <w:keepNext/>
              <w:keepLines/>
              <w:widowControl w:val="0"/>
              <w:tabs>
                <w:tab w:val="left" w:pos="180"/>
                <w:tab w:val="left" w:pos="1440"/>
                <w:tab w:val="left" w:pos="1800"/>
              </w:tabs>
              <w:jc w:val="both"/>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keepNext/>
              <w:keepLines/>
              <w:widowControl w:val="0"/>
              <w:tabs>
                <w:tab w:val="left" w:pos="180"/>
                <w:tab w:val="left" w:pos="1440"/>
                <w:tab w:val="left" w:pos="1800"/>
              </w:tabs>
              <w:jc w:val="both"/>
              <w:rPr>
                <w:bCs/>
                <w:sz w:val="22"/>
                <w:szCs w:val="22"/>
              </w:rPr>
            </w:pPr>
            <w:r>
              <w:rPr>
                <w:bCs/>
                <w:sz w:val="22"/>
                <w:szCs w:val="22"/>
              </w:rPr>
              <w:t>Телефоны (с указанием кода города)</w:t>
            </w:r>
          </w:p>
        </w:tc>
        <w:tc>
          <w:tcPr>
            <w:tcW w:w="4242" w:type="dxa"/>
            <w:vAlign w:val="center"/>
          </w:tcPr>
          <w:p>
            <w:pPr>
              <w:keepNext/>
              <w:keepLines/>
              <w:widowControl w:val="0"/>
              <w:tabs>
                <w:tab w:val="left" w:pos="180"/>
                <w:tab w:val="left" w:pos="1440"/>
                <w:tab w:val="left" w:pos="1800"/>
              </w:tabs>
              <w:jc w:val="both"/>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keepNext/>
              <w:keepLines/>
              <w:widowControl w:val="0"/>
              <w:tabs>
                <w:tab w:val="left" w:pos="180"/>
                <w:tab w:val="left" w:pos="1440"/>
                <w:tab w:val="left" w:pos="1800"/>
              </w:tabs>
              <w:jc w:val="both"/>
              <w:rPr>
                <w:bCs/>
                <w:sz w:val="22"/>
                <w:szCs w:val="22"/>
              </w:rPr>
            </w:pPr>
            <w:r>
              <w:rPr>
                <w:bCs/>
                <w:sz w:val="22"/>
                <w:szCs w:val="22"/>
              </w:rPr>
              <w:t>Адрес электронной почты участника</w:t>
            </w:r>
          </w:p>
        </w:tc>
        <w:tc>
          <w:tcPr>
            <w:tcW w:w="4242" w:type="dxa"/>
            <w:vAlign w:val="center"/>
          </w:tcPr>
          <w:p>
            <w:pPr>
              <w:keepNext/>
              <w:keepLines/>
              <w:widowControl w:val="0"/>
              <w:tabs>
                <w:tab w:val="left" w:pos="180"/>
                <w:tab w:val="left" w:pos="1440"/>
                <w:tab w:val="left" w:pos="1800"/>
              </w:tabs>
              <w:jc w:val="both"/>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keepNext/>
              <w:keepLines/>
              <w:widowControl w:val="0"/>
              <w:tabs>
                <w:tab w:val="left" w:pos="180"/>
                <w:tab w:val="left" w:pos="1440"/>
                <w:tab w:val="left" w:pos="1800"/>
              </w:tabs>
              <w:jc w:val="both"/>
              <w:rPr>
                <w:bCs/>
                <w:sz w:val="22"/>
                <w:szCs w:val="22"/>
              </w:rPr>
            </w:pPr>
            <w:r>
              <w:rPr>
                <w:bCs/>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242" w:type="dxa"/>
            <w:vAlign w:val="center"/>
          </w:tcPr>
          <w:p>
            <w:pPr>
              <w:keepNext/>
              <w:keepLines/>
              <w:widowControl w:val="0"/>
              <w:tabs>
                <w:tab w:val="left" w:pos="180"/>
                <w:tab w:val="left" w:pos="1440"/>
                <w:tab w:val="left" w:pos="1800"/>
              </w:tabs>
              <w:jc w:val="both"/>
              <w:rPr>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91" w:type="dxa"/>
            <w:gridSpan w:val="2"/>
            <w:vAlign w:val="center"/>
          </w:tcPr>
          <w:p>
            <w:pPr>
              <w:textAlignment w:val="center"/>
              <w:rPr>
                <w:i/>
                <w:iCs/>
                <w:color w:val="000000"/>
                <w:sz w:val="22"/>
                <w:szCs w:val="22"/>
              </w:rPr>
            </w:pPr>
            <w:r>
              <w:rPr>
                <w:rFonts w:eastAsia="SimSun"/>
                <w:color w:val="000000"/>
                <w:sz w:val="22"/>
                <w:szCs w:val="22"/>
                <w:lang w:eastAsia="zh-CN" w:bidi="ar"/>
              </w:rPr>
              <w:t>Участник член саморегулируемой организации (СРО)</w:t>
            </w:r>
            <w:r>
              <w:rPr>
                <w:sz w:val="22"/>
                <w:szCs w:val="22"/>
              </w:rPr>
              <w:t>, 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600"/>
                <w:tab w:val="clear" w:pos="420"/>
              </w:tabs>
              <w:ind w:left="800"/>
              <w:jc w:val="both"/>
              <w:textAlignment w:val="center"/>
              <w:rPr>
                <w:rFonts w:eastAsia="SimSun"/>
                <w:color w:val="000000"/>
                <w:sz w:val="22"/>
                <w:szCs w:val="22"/>
                <w:lang w:eastAsia="zh-CN" w:bidi="ar"/>
              </w:rPr>
            </w:pPr>
            <w:r>
              <w:rPr>
                <w:sz w:val="22"/>
                <w:szCs w:val="22"/>
              </w:rPr>
              <w:t xml:space="preserve">на </w:t>
            </w:r>
            <w:r>
              <w:rPr>
                <w:rFonts w:eastAsia="SimSun"/>
                <w:color w:val="000000"/>
                <w:sz w:val="22"/>
                <w:szCs w:val="22"/>
                <w:lang w:eastAsia="zh-CN" w:bidi="ar"/>
              </w:rPr>
              <w:t>выполнения работ по строительству, реконструкции и капитальному ремонту</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да / нет </w:t>
            </w:r>
          </w:p>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членства указать наименование СРО и уровень ответственности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600"/>
                <w:tab w:val="clear" w:pos="420"/>
              </w:tabs>
              <w:ind w:left="800"/>
              <w:jc w:val="both"/>
              <w:textAlignment w:val="center"/>
              <w:rPr>
                <w:rFonts w:eastAsia="SimSun"/>
                <w:color w:val="000000"/>
                <w:sz w:val="22"/>
                <w:szCs w:val="22"/>
                <w:lang w:eastAsia="zh-CN" w:bidi="ar"/>
              </w:rPr>
            </w:pPr>
            <w:r>
              <w:rPr>
                <w:rFonts w:eastAsia="SimSun"/>
                <w:color w:val="000000"/>
                <w:sz w:val="22"/>
                <w:szCs w:val="22"/>
                <w:lang w:eastAsia="zh-CN"/>
              </w:rPr>
              <w:t>на выполнение инженерных изысканий</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да / нет </w:t>
            </w:r>
          </w:p>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членства указать наименование СРО и уровень ответственности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600"/>
                <w:tab w:val="clear" w:pos="420"/>
              </w:tabs>
              <w:ind w:left="800"/>
              <w:jc w:val="both"/>
              <w:textAlignment w:val="center"/>
              <w:rPr>
                <w:rFonts w:eastAsia="SimSun"/>
                <w:color w:val="000000"/>
                <w:sz w:val="22"/>
                <w:szCs w:val="22"/>
                <w:lang w:eastAsia="zh-CN" w:bidi="ar"/>
              </w:rPr>
            </w:pPr>
            <w:r>
              <w:rPr>
                <w:rFonts w:eastAsia="SimSun"/>
                <w:color w:val="000000"/>
                <w:sz w:val="22"/>
                <w:szCs w:val="22"/>
                <w:lang w:eastAsia="zh-CN" w:bidi="ar"/>
              </w:rPr>
              <w:t xml:space="preserve">на </w:t>
            </w:r>
            <w:r>
              <w:rPr>
                <w:rFonts w:eastAsia="SimSun"/>
                <w:color w:val="000000"/>
                <w:sz w:val="22"/>
                <w:szCs w:val="22"/>
                <w:lang w:eastAsia="zh-CN"/>
              </w:rPr>
              <w:t>подготовку проектной документации</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да / нет </w:t>
            </w:r>
          </w:p>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членства указать наименование СРО и уровень ответственности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textAlignment w:val="center"/>
              <w:rPr>
                <w:rFonts w:eastAsia="SimSun"/>
                <w:color w:val="000000"/>
                <w:sz w:val="22"/>
                <w:szCs w:val="22"/>
                <w:lang w:eastAsia="zh-CN" w:bidi="ar"/>
              </w:rPr>
            </w:pPr>
            <w:r>
              <w:rPr>
                <w:rFonts w:eastAsia="SimSun"/>
                <w:color w:val="000000"/>
                <w:sz w:val="22"/>
                <w:szCs w:val="22"/>
                <w:lang w:eastAsia="zh-CN" w:bidi="ar"/>
              </w:rPr>
              <w:t>Наличие сертификатов ИСО, в том числе:</w:t>
            </w:r>
          </w:p>
        </w:tc>
        <w:tc>
          <w:tcPr>
            <w:tcW w:w="4242" w:type="dxa"/>
            <w:vAlign w:val="center"/>
          </w:tcPr>
          <w:p>
            <w:pPr>
              <w:jc w:val="center"/>
              <w:textAlignment w:val="center"/>
              <w:rPr>
                <w:rFonts w:eastAsia="SimSun"/>
                <w:i/>
                <w:iCs/>
                <w:color w:val="00000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800"/>
                <w:tab w:val="clear" w:pos="420"/>
              </w:tabs>
              <w:ind w:left="800"/>
              <w:textAlignment w:val="center"/>
              <w:rPr>
                <w:rFonts w:eastAsia="SimSun"/>
                <w:color w:val="000000"/>
                <w:sz w:val="22"/>
                <w:szCs w:val="22"/>
                <w:lang w:eastAsia="zh-CN" w:bidi="ar"/>
              </w:rPr>
            </w:pPr>
            <w:r>
              <w:rPr>
                <w:rFonts w:eastAsia="SimSun"/>
                <w:color w:val="000000"/>
                <w:sz w:val="22"/>
                <w:szCs w:val="22"/>
                <w:lang w:eastAsia="zh-CN"/>
              </w:rPr>
              <w:t>ГОСТ Р ИСО 9001-2015</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800"/>
                <w:tab w:val="clear" w:pos="420"/>
              </w:tabs>
              <w:ind w:left="800"/>
              <w:textAlignment w:val="center"/>
              <w:rPr>
                <w:rFonts w:eastAsia="SimSun"/>
                <w:color w:val="000000"/>
                <w:sz w:val="22"/>
                <w:szCs w:val="22"/>
                <w:lang w:eastAsia="zh-CN" w:bidi="ar"/>
              </w:rPr>
            </w:pPr>
            <w:r>
              <w:rPr>
                <w:rFonts w:eastAsia="SimSun"/>
                <w:color w:val="000000"/>
                <w:sz w:val="22"/>
                <w:szCs w:val="22"/>
                <w:lang w:eastAsia="zh-CN"/>
              </w:rPr>
              <w:t>ГОСТ Р ИСО 14001-2016</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800"/>
                <w:tab w:val="clear" w:pos="420"/>
              </w:tabs>
              <w:ind w:left="800"/>
              <w:textAlignment w:val="center"/>
              <w:rPr>
                <w:rFonts w:eastAsia="SimSun"/>
                <w:color w:val="000000"/>
                <w:sz w:val="22"/>
                <w:szCs w:val="22"/>
                <w:lang w:eastAsia="zh-CN" w:bidi="ar"/>
              </w:rPr>
            </w:pPr>
            <w:r>
              <w:rPr>
                <w:rFonts w:eastAsia="SimSun"/>
                <w:color w:val="000000"/>
                <w:sz w:val="22"/>
                <w:szCs w:val="22"/>
                <w:lang w:eastAsia="zh-CN"/>
              </w:rPr>
              <w:t xml:space="preserve"> ГОСТ ISO 45001</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800"/>
                <w:tab w:val="clear" w:pos="420"/>
              </w:tabs>
              <w:ind w:left="800"/>
              <w:textAlignment w:val="center"/>
              <w:rPr>
                <w:rFonts w:eastAsia="SimSun"/>
                <w:color w:val="000000"/>
                <w:sz w:val="22"/>
                <w:szCs w:val="22"/>
                <w:lang w:eastAsia="zh-CN"/>
              </w:rPr>
            </w:pPr>
            <w:r>
              <w:rPr>
                <w:rFonts w:eastAsia="SimSun"/>
                <w:color w:val="000000"/>
                <w:sz w:val="22"/>
                <w:szCs w:val="22"/>
                <w:lang w:eastAsia="zh-CN"/>
              </w:rPr>
              <w:t>ГОСТ Р ИСО 56404</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800"/>
                <w:tab w:val="clear" w:pos="420"/>
              </w:tabs>
              <w:ind w:left="800"/>
              <w:textAlignment w:val="center"/>
              <w:rPr>
                <w:rFonts w:eastAsia="SimSun"/>
                <w:color w:val="000000"/>
                <w:sz w:val="22"/>
                <w:szCs w:val="22"/>
                <w:lang w:eastAsia="zh-CN" w:bidi="ar"/>
              </w:rPr>
            </w:pPr>
            <w:r>
              <w:rPr>
                <w:rFonts w:eastAsia="SimSun"/>
                <w:color w:val="000000"/>
                <w:sz w:val="22"/>
                <w:szCs w:val="22"/>
                <w:lang w:eastAsia="zh-CN" w:bidi="ar"/>
              </w:rPr>
              <w:t>иные</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 нет</w:t>
            </w:r>
          </w:p>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указать наименование и выдавший орган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91" w:type="dxa"/>
            <w:gridSpan w:val="2"/>
            <w:vAlign w:val="center"/>
          </w:tcPr>
          <w:p>
            <w:pPr>
              <w:textAlignment w:val="center"/>
              <w:rPr>
                <w:rFonts w:eastAsia="SimSun"/>
                <w:i/>
                <w:iCs/>
                <w:color w:val="000000"/>
                <w:sz w:val="22"/>
                <w:szCs w:val="22"/>
                <w:lang w:eastAsia="zh-CN" w:bidi="ar"/>
              </w:rPr>
            </w:pPr>
            <w:r>
              <w:rPr>
                <w:rFonts w:eastAsia="SimSun"/>
                <w:color w:val="000000"/>
                <w:sz w:val="22"/>
                <w:szCs w:val="22"/>
                <w:lang w:eastAsia="zh-CN" w:bidi="ar"/>
              </w:rPr>
              <w:t xml:space="preserve">Наличие аккредитации, в том числе: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ind w:left="283" w:firstLine="0"/>
              <w:textAlignment w:val="center"/>
              <w:rPr>
                <w:rFonts w:eastAsia="SimSun"/>
                <w:color w:val="000000"/>
                <w:sz w:val="22"/>
                <w:szCs w:val="22"/>
                <w:lang w:eastAsia="zh-CN" w:bidi="ar"/>
              </w:rPr>
            </w:pPr>
            <w:r>
              <w:rPr>
                <w:rFonts w:eastAsia="SimSun"/>
                <w:color w:val="000000"/>
                <w:sz w:val="22"/>
                <w:szCs w:val="22"/>
                <w:lang w:eastAsia="zh-CN"/>
              </w:rPr>
              <w:t>допуск на объекты подконтрольные Ростехназору</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600"/>
                <w:tab w:val="clear" w:pos="420"/>
              </w:tabs>
              <w:ind w:left="283" w:firstLine="0"/>
              <w:textAlignment w:val="center"/>
              <w:rPr>
                <w:rFonts w:eastAsia="SimSun"/>
                <w:color w:val="000000"/>
                <w:sz w:val="22"/>
                <w:szCs w:val="22"/>
                <w:lang w:eastAsia="zh-CN" w:bidi="ar"/>
              </w:rPr>
            </w:pPr>
            <w:r>
              <w:rPr>
                <w:rFonts w:eastAsia="SimSun"/>
                <w:color w:val="000000"/>
                <w:sz w:val="22"/>
                <w:szCs w:val="22"/>
                <w:lang w:eastAsia="zh-CN" w:bidi="ar"/>
              </w:rPr>
              <w:t>иные</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 нет</w:t>
            </w:r>
          </w:p>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указать наименование и выдавший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91" w:type="dxa"/>
            <w:gridSpan w:val="2"/>
            <w:vAlign w:val="center"/>
          </w:tcPr>
          <w:p>
            <w:pPr>
              <w:textAlignment w:val="center"/>
              <w:rPr>
                <w:rFonts w:eastAsia="SimSun"/>
                <w:i/>
                <w:iCs/>
                <w:color w:val="000000"/>
                <w:sz w:val="22"/>
                <w:szCs w:val="22"/>
                <w:lang w:eastAsia="zh-CN" w:bidi="ar"/>
              </w:rPr>
            </w:pPr>
            <w:r>
              <w:rPr>
                <w:rFonts w:eastAsia="SimSun"/>
                <w:color w:val="000000"/>
                <w:sz w:val="22"/>
                <w:szCs w:val="22"/>
                <w:lang w:eastAsia="zh-CN" w:bidi="ar"/>
              </w:rPr>
              <w:t xml:space="preserve">Наличие лицензий, в том числе: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600"/>
                <w:tab w:val="clear" w:pos="420"/>
              </w:tabs>
              <w:ind w:left="1600"/>
              <w:textAlignment w:val="center"/>
              <w:rPr>
                <w:rFonts w:eastAsia="SimSun"/>
                <w:color w:val="000000"/>
                <w:sz w:val="22"/>
                <w:szCs w:val="22"/>
                <w:lang w:eastAsia="zh-CN" w:bidi="ar"/>
              </w:rPr>
            </w:pPr>
            <w:r>
              <w:rPr>
                <w:rFonts w:eastAsia="SimSun"/>
                <w:color w:val="000000"/>
                <w:sz w:val="22"/>
                <w:szCs w:val="22"/>
                <w:lang w:eastAsia="zh-CN" w:bidi="ar"/>
              </w:rPr>
              <w:t>лицензии МЧС</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600"/>
                <w:tab w:val="clear" w:pos="420"/>
              </w:tabs>
              <w:ind w:left="1600"/>
              <w:textAlignment w:val="center"/>
              <w:rPr>
                <w:rFonts w:eastAsia="SimSun"/>
                <w:color w:val="000000"/>
                <w:sz w:val="22"/>
                <w:szCs w:val="22"/>
                <w:lang w:eastAsia="zh-CN" w:bidi="ar"/>
              </w:rPr>
            </w:pPr>
            <w:r>
              <w:rPr>
                <w:rFonts w:eastAsia="SimSun"/>
                <w:color w:val="000000"/>
                <w:sz w:val="22"/>
                <w:szCs w:val="22"/>
                <w:lang w:eastAsia="zh-CN" w:bidi="ar"/>
              </w:rPr>
              <w:t>лицензии ФСБ</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600"/>
                <w:tab w:val="clear" w:pos="420"/>
              </w:tabs>
              <w:ind w:left="1600"/>
              <w:textAlignment w:val="center"/>
              <w:rPr>
                <w:rFonts w:eastAsia="SimSun"/>
                <w:color w:val="000000"/>
                <w:sz w:val="22"/>
                <w:szCs w:val="22"/>
                <w:lang w:eastAsia="zh-CN" w:bidi="ar"/>
              </w:rPr>
            </w:pPr>
            <w:r>
              <w:rPr>
                <w:rFonts w:eastAsia="SimSun"/>
                <w:color w:val="000000"/>
                <w:sz w:val="22"/>
                <w:szCs w:val="22"/>
                <w:lang w:eastAsia="zh-CN" w:bidi="ar"/>
              </w:rPr>
              <w:t>лицензии Минкульта</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3"/>
              </w:numPr>
              <w:tabs>
                <w:tab w:val="left" w:pos="600"/>
                <w:tab w:val="clear" w:pos="420"/>
              </w:tabs>
              <w:ind w:left="1600"/>
              <w:textAlignment w:val="center"/>
              <w:rPr>
                <w:rFonts w:eastAsia="SimSun"/>
                <w:color w:val="000000"/>
                <w:sz w:val="22"/>
                <w:szCs w:val="22"/>
                <w:lang w:eastAsia="zh-CN" w:bidi="ar"/>
              </w:rPr>
            </w:pPr>
            <w:r>
              <w:rPr>
                <w:rFonts w:eastAsia="SimSun"/>
                <w:color w:val="000000"/>
                <w:sz w:val="22"/>
                <w:szCs w:val="22"/>
                <w:lang w:eastAsia="zh-CN" w:bidi="ar"/>
              </w:rPr>
              <w:t>иные</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 нет</w:t>
            </w:r>
          </w:p>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при наличии указать наименование и выдавший органа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91" w:type="dxa"/>
            <w:gridSpan w:val="2"/>
            <w:vAlign w:val="center"/>
          </w:tcPr>
          <w:p>
            <w:pPr>
              <w:textAlignment w:val="center"/>
              <w:rPr>
                <w:rFonts w:eastAsia="SimSun"/>
                <w:i/>
                <w:iCs/>
                <w:color w:val="000000"/>
                <w:sz w:val="22"/>
                <w:szCs w:val="22"/>
                <w:lang w:eastAsia="zh-CN" w:bidi="ar"/>
              </w:rPr>
            </w:pPr>
            <w:r>
              <w:rPr>
                <w:rFonts w:eastAsia="SimSun"/>
                <w:color w:val="000000"/>
                <w:sz w:val="22"/>
                <w:szCs w:val="22"/>
                <w:lang w:eastAsia="zh-CN" w:bidi="ar"/>
              </w:rPr>
              <w:t>Наличие договоров с аккредитованными лабораториями</w:t>
            </w:r>
            <w:r>
              <w:rPr>
                <w:sz w:val="22"/>
                <w:szCs w:val="22"/>
              </w:rPr>
              <w:t>, 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4"/>
              </w:numPr>
              <w:tabs>
                <w:tab w:val="left" w:pos="600"/>
                <w:tab w:val="clear" w:pos="420"/>
              </w:tabs>
              <w:ind w:left="600"/>
              <w:textAlignment w:val="center"/>
              <w:rPr>
                <w:rFonts w:eastAsia="SimSun"/>
                <w:color w:val="000000"/>
                <w:sz w:val="22"/>
                <w:szCs w:val="22"/>
                <w:lang w:eastAsia="zh-CN" w:bidi="ar"/>
              </w:rPr>
            </w:pPr>
            <w:r>
              <w:rPr>
                <w:rFonts w:eastAsia="SimSun"/>
                <w:color w:val="000000"/>
                <w:sz w:val="22"/>
                <w:szCs w:val="22"/>
                <w:lang w:eastAsia="zh-CN" w:bidi="ar"/>
              </w:rPr>
              <w:t>в области разрушающего и неразрушающего контроля</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4"/>
              </w:numPr>
              <w:tabs>
                <w:tab w:val="left" w:pos="600"/>
                <w:tab w:val="clear" w:pos="420"/>
              </w:tabs>
              <w:ind w:left="600"/>
              <w:textAlignment w:val="center"/>
              <w:rPr>
                <w:rFonts w:eastAsia="SimSun"/>
                <w:color w:val="000000"/>
                <w:sz w:val="22"/>
                <w:szCs w:val="22"/>
                <w:lang w:eastAsia="zh-CN" w:bidi="ar"/>
              </w:rPr>
            </w:pPr>
            <w:r>
              <w:rPr>
                <w:rFonts w:eastAsia="SimSun"/>
                <w:color w:val="000000"/>
                <w:sz w:val="22"/>
                <w:szCs w:val="22"/>
                <w:lang w:eastAsia="zh-CN" w:bidi="ar"/>
              </w:rPr>
              <w:t>в области исследования грунтов и воды</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91" w:type="dxa"/>
            <w:gridSpan w:val="2"/>
            <w:vAlign w:val="center"/>
          </w:tcPr>
          <w:p>
            <w:pPr>
              <w:textAlignment w:val="center"/>
              <w:rPr>
                <w:rFonts w:eastAsia="SimSun"/>
                <w:i/>
                <w:iCs/>
                <w:color w:val="000000"/>
                <w:sz w:val="22"/>
                <w:szCs w:val="22"/>
                <w:lang w:eastAsia="zh-CN" w:bidi="ar"/>
              </w:rPr>
            </w:pPr>
            <w:r>
              <w:rPr>
                <w:rFonts w:eastAsia="SimSun"/>
                <w:color w:val="000000"/>
                <w:sz w:val="22"/>
                <w:szCs w:val="22"/>
                <w:lang w:eastAsia="zh-CN" w:bidi="ar"/>
              </w:rPr>
              <w:t>Опыт выполнения работ, 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5"/>
              </w:numPr>
              <w:tabs>
                <w:tab w:val="left" w:pos="800"/>
                <w:tab w:val="clear" w:pos="420"/>
              </w:tabs>
              <w:ind w:left="283" w:firstLine="0"/>
              <w:textAlignment w:val="center"/>
              <w:rPr>
                <w:color w:val="000000"/>
                <w:sz w:val="22"/>
                <w:szCs w:val="22"/>
              </w:rPr>
            </w:pPr>
            <w:r>
              <w:rPr>
                <w:rFonts w:eastAsia="SimSun"/>
                <w:color w:val="000000"/>
                <w:sz w:val="22"/>
                <w:szCs w:val="22"/>
                <w:lang w:eastAsia="zh-CN" w:bidi="ar"/>
              </w:rPr>
              <w:t>общее количество договоров (контрактов) по строительству гражданских и промышленных зданий и сооружений, заключенных не ранее 2019 года</w:t>
            </w:r>
          </w:p>
        </w:tc>
        <w:tc>
          <w:tcPr>
            <w:tcW w:w="4242" w:type="dxa"/>
            <w:vAlign w:val="center"/>
          </w:tcPr>
          <w:p>
            <w:pPr>
              <w:jc w:val="center"/>
              <w:textAlignment w:val="center"/>
              <w:rPr>
                <w:i/>
                <w:iCs/>
                <w:color w:val="000000"/>
                <w:sz w:val="22"/>
                <w:szCs w:val="22"/>
              </w:rPr>
            </w:pPr>
            <w:r>
              <w:rPr>
                <w:rFonts w:eastAsia="SimSun"/>
                <w:i/>
                <w:iCs/>
                <w:color w:val="000000"/>
                <w:sz w:val="22"/>
                <w:szCs w:val="22"/>
                <w:lang w:val="en-US" w:eastAsia="zh-CN" w:bidi="ar"/>
              </w:rPr>
              <w:t>указать количество</w:t>
            </w:r>
            <w:r>
              <w:rPr>
                <w:rFonts w:eastAsia="SimSun"/>
                <w:i/>
                <w:iCs/>
                <w:color w:val="000000"/>
                <w:sz w:val="22"/>
                <w:szCs w:val="22"/>
                <w:lang w:eastAsia="zh-CN" w:bidi="ar"/>
              </w:rPr>
              <w:t>, стоимость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5"/>
              </w:numPr>
              <w:tabs>
                <w:tab w:val="left" w:pos="800"/>
                <w:tab w:val="clear" w:pos="420"/>
              </w:tabs>
              <w:ind w:left="283" w:firstLine="0"/>
              <w:textAlignment w:val="center"/>
              <w:rPr>
                <w:color w:val="000000"/>
                <w:sz w:val="22"/>
                <w:szCs w:val="22"/>
              </w:rPr>
            </w:pPr>
            <w:r>
              <w:rPr>
                <w:rFonts w:eastAsia="SimSun"/>
                <w:color w:val="000000"/>
                <w:sz w:val="22"/>
                <w:szCs w:val="22"/>
                <w:lang w:eastAsia="zh-CN" w:bidi="ar"/>
              </w:rPr>
              <w:t>наличие опыта исполнения контрактов (договоров) по строительству гражданских и промышленных зданий и сооружений, стоимость которых свыше 300 (трехсот) млн. руб. с НДС</w:t>
            </w:r>
          </w:p>
        </w:tc>
        <w:tc>
          <w:tcPr>
            <w:tcW w:w="4242" w:type="dxa"/>
            <w:vAlign w:val="center"/>
          </w:tcPr>
          <w:p>
            <w:pPr>
              <w:jc w:val="center"/>
              <w:textAlignment w:val="center"/>
              <w:rPr>
                <w:i/>
                <w:iCs/>
                <w:color w:val="000000"/>
                <w:sz w:val="22"/>
                <w:szCs w:val="22"/>
              </w:rPr>
            </w:pPr>
            <w:r>
              <w:rPr>
                <w:rFonts w:eastAsia="SimSun"/>
                <w:i/>
                <w:iCs/>
                <w:color w:val="000000"/>
                <w:sz w:val="22"/>
                <w:szCs w:val="22"/>
                <w:lang w:val="en-US" w:eastAsia="zh-CN" w:bidi="ar"/>
              </w:rPr>
              <w:t>указать количество</w:t>
            </w:r>
            <w:r>
              <w:rPr>
                <w:rFonts w:eastAsia="SimSun"/>
                <w:i/>
                <w:iCs/>
                <w:color w:val="000000"/>
                <w:sz w:val="22"/>
                <w:szCs w:val="22"/>
                <w:lang w:eastAsia="zh-CN" w:bidi="ar"/>
              </w:rPr>
              <w:t>, стоимость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5"/>
              </w:numPr>
              <w:tabs>
                <w:tab w:val="left" w:pos="800"/>
                <w:tab w:val="clear" w:pos="420"/>
              </w:tabs>
              <w:ind w:left="283" w:firstLine="0"/>
              <w:textAlignment w:val="center"/>
              <w:rPr>
                <w:color w:val="000000"/>
                <w:sz w:val="22"/>
                <w:szCs w:val="22"/>
              </w:rPr>
            </w:pPr>
            <w:r>
              <w:rPr>
                <w:rFonts w:eastAsia="SimSun"/>
                <w:color w:val="000000"/>
                <w:sz w:val="22"/>
                <w:szCs w:val="22"/>
                <w:lang w:eastAsia="zh-CN" w:bidi="ar"/>
              </w:rPr>
              <w:t>наличие опыта контрактов (договоров) по выполнению работ по проектированию объектов, заключенных не ранее 2019 года, при условии получения положительного заключения экспертизы проектной документации и стоимостью строительства более 100 млн руб. с НДС</w:t>
            </w:r>
          </w:p>
        </w:tc>
        <w:tc>
          <w:tcPr>
            <w:tcW w:w="4242" w:type="dxa"/>
            <w:vAlign w:val="center"/>
          </w:tcPr>
          <w:p>
            <w:pPr>
              <w:jc w:val="center"/>
              <w:textAlignment w:val="center"/>
              <w:rPr>
                <w:i/>
                <w:iCs/>
                <w:color w:val="000000"/>
                <w:sz w:val="22"/>
                <w:szCs w:val="22"/>
              </w:rPr>
            </w:pPr>
            <w:r>
              <w:rPr>
                <w:rFonts w:eastAsia="SimSun"/>
                <w:i/>
                <w:iCs/>
                <w:color w:val="000000"/>
                <w:sz w:val="22"/>
                <w:szCs w:val="22"/>
                <w:lang w:eastAsia="zh-CN" w:bidi="ar"/>
              </w:rPr>
              <w:t>указать количество, стоимость</w:t>
            </w:r>
            <w:r>
              <w:rPr>
                <w:rFonts w:eastAsia="SimSun"/>
                <w:i/>
                <w:iCs/>
                <w:color w:val="000000"/>
                <w:sz w:val="22"/>
                <w:szCs w:val="22"/>
                <w:lang w:eastAsia="zh-CN" w:bidi="ar"/>
              </w:rPr>
              <w:br w:type="textWrapping"/>
            </w:r>
            <w:r>
              <w:rPr>
                <w:rFonts w:eastAsia="SimSun"/>
                <w:i/>
                <w:iCs/>
                <w:color w:val="000000"/>
                <w:sz w:val="22"/>
                <w:szCs w:val="22"/>
                <w:lang w:eastAsia="zh-CN" w:bidi="ar"/>
              </w:rPr>
              <w:t>указать стадию («П» или «Р»)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5"/>
              </w:numPr>
              <w:tabs>
                <w:tab w:val="left" w:pos="800"/>
                <w:tab w:val="clear" w:pos="420"/>
              </w:tabs>
              <w:ind w:left="283" w:firstLine="0"/>
              <w:textAlignment w:val="center"/>
              <w:rPr>
                <w:color w:val="000000"/>
                <w:sz w:val="22"/>
                <w:szCs w:val="22"/>
              </w:rPr>
            </w:pPr>
            <w:r>
              <w:rPr>
                <w:rFonts w:eastAsia="SimSun"/>
                <w:color w:val="000000"/>
                <w:sz w:val="22"/>
                <w:szCs w:val="22"/>
                <w:lang w:eastAsia="zh-CN" w:bidi="ar"/>
              </w:rPr>
              <w:t>наличие опыта выполнения строительно-монтажных работ «под ключ», выполненных не ранее 2019 года, стоимостью строительства более 100 (ста) млн руб. с НДС</w:t>
            </w:r>
          </w:p>
        </w:tc>
        <w:tc>
          <w:tcPr>
            <w:tcW w:w="4242" w:type="dxa"/>
            <w:vAlign w:val="center"/>
          </w:tcPr>
          <w:p>
            <w:pPr>
              <w:jc w:val="center"/>
              <w:textAlignment w:val="center"/>
              <w:rPr>
                <w:i/>
                <w:iCs/>
                <w:color w:val="000000"/>
                <w:sz w:val="22"/>
                <w:szCs w:val="22"/>
              </w:rPr>
            </w:pPr>
            <w:r>
              <w:rPr>
                <w:rFonts w:eastAsia="SimSun"/>
                <w:i/>
                <w:iCs/>
                <w:color w:val="000000"/>
                <w:sz w:val="22"/>
                <w:szCs w:val="22"/>
                <w:lang w:val="en-US" w:eastAsia="zh-CN" w:bidi="ar"/>
              </w:rPr>
              <w:t>указать количество</w:t>
            </w:r>
            <w:r>
              <w:rPr>
                <w:rFonts w:eastAsia="SimSun"/>
                <w:i/>
                <w:iCs/>
                <w:color w:val="000000"/>
                <w:sz w:val="22"/>
                <w:szCs w:val="22"/>
                <w:lang w:eastAsia="zh-CN" w:bidi="ar"/>
              </w:rPr>
              <w:t>, стоимость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91" w:type="dxa"/>
            <w:gridSpan w:val="2"/>
          </w:tcPr>
          <w:p>
            <w:pPr>
              <w:textAlignment w:val="center"/>
              <w:rPr>
                <w:rFonts w:eastAsia="SimSun"/>
                <w:i/>
                <w:iCs/>
                <w:color w:val="000000"/>
                <w:sz w:val="22"/>
                <w:szCs w:val="22"/>
                <w:lang w:eastAsia="zh-CN" w:bidi="ar"/>
              </w:rPr>
            </w:pPr>
            <w:r>
              <w:rPr>
                <w:rFonts w:eastAsia="SimSun"/>
                <w:color w:val="000000"/>
                <w:sz w:val="22"/>
                <w:szCs w:val="22"/>
                <w:lang w:eastAsia="zh-CN" w:bidi="ar"/>
              </w:rPr>
              <w:t>Наличие персонала, 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tcPr>
          <w:p>
            <w:pPr>
              <w:numPr>
                <w:ilvl w:val="0"/>
                <w:numId w:val="16"/>
              </w:numPr>
              <w:tabs>
                <w:tab w:val="left" w:pos="600"/>
                <w:tab w:val="clear" w:pos="420"/>
              </w:tabs>
              <w:ind w:left="600"/>
              <w:textAlignment w:val="top"/>
              <w:rPr>
                <w:color w:val="000000"/>
                <w:sz w:val="22"/>
                <w:szCs w:val="22"/>
              </w:rPr>
            </w:pPr>
            <w:r>
              <w:rPr>
                <w:rFonts w:eastAsia="SimSun"/>
                <w:color w:val="000000"/>
                <w:sz w:val="22"/>
                <w:szCs w:val="22"/>
                <w:lang w:eastAsia="zh-CN" w:bidi="ar"/>
              </w:rPr>
              <w:t>и</w:t>
            </w:r>
            <w:r>
              <w:rPr>
                <w:rFonts w:eastAsia="SimSun"/>
                <w:color w:val="000000"/>
                <w:sz w:val="22"/>
                <w:szCs w:val="22"/>
                <w:lang w:val="en-US" w:eastAsia="zh-CN" w:bidi="ar"/>
              </w:rPr>
              <w:t>нженерно-технический персонал</w:t>
            </w:r>
          </w:p>
        </w:tc>
        <w:tc>
          <w:tcPr>
            <w:tcW w:w="4242" w:type="dxa"/>
            <w:vAlign w:val="center"/>
          </w:tcPr>
          <w:p>
            <w:pPr>
              <w:jc w:val="center"/>
              <w:textAlignment w:val="center"/>
              <w:rPr>
                <w:i/>
                <w:iCs/>
                <w:color w:val="000000"/>
                <w:sz w:val="22"/>
                <w:szCs w:val="22"/>
              </w:rPr>
            </w:pPr>
            <w:r>
              <w:rPr>
                <w:rFonts w:eastAsia="SimSun"/>
                <w:i/>
                <w:iCs/>
                <w:color w:val="000000"/>
                <w:sz w:val="22"/>
                <w:szCs w:val="22"/>
                <w:lang w:val="en-US" w:eastAsia="zh-CN" w:bidi="ar"/>
              </w:rPr>
              <w:t>указать 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tcPr>
          <w:p>
            <w:pPr>
              <w:numPr>
                <w:ilvl w:val="0"/>
                <w:numId w:val="16"/>
              </w:numPr>
              <w:tabs>
                <w:tab w:val="left" w:pos="600"/>
                <w:tab w:val="clear" w:pos="420"/>
              </w:tabs>
              <w:ind w:left="600"/>
              <w:textAlignment w:val="top"/>
              <w:rPr>
                <w:color w:val="000000"/>
                <w:sz w:val="22"/>
                <w:szCs w:val="22"/>
              </w:rPr>
            </w:pPr>
            <w:r>
              <w:rPr>
                <w:rFonts w:eastAsia="SimSun"/>
                <w:color w:val="000000"/>
                <w:sz w:val="22"/>
                <w:szCs w:val="22"/>
                <w:lang w:eastAsia="zh-CN" w:bidi="ar"/>
              </w:rPr>
              <w:t>р</w:t>
            </w:r>
            <w:r>
              <w:rPr>
                <w:rFonts w:eastAsia="SimSun"/>
                <w:color w:val="000000"/>
                <w:sz w:val="22"/>
                <w:szCs w:val="22"/>
                <w:lang w:val="en-US" w:eastAsia="zh-CN" w:bidi="ar"/>
              </w:rPr>
              <w:t>абочие и вспомогательный персонал</w:t>
            </w:r>
          </w:p>
        </w:tc>
        <w:tc>
          <w:tcPr>
            <w:tcW w:w="4242" w:type="dxa"/>
            <w:vAlign w:val="center"/>
          </w:tcPr>
          <w:p>
            <w:pPr>
              <w:jc w:val="center"/>
              <w:textAlignment w:val="center"/>
              <w:rPr>
                <w:i/>
                <w:iCs/>
                <w:color w:val="000000"/>
                <w:sz w:val="22"/>
                <w:szCs w:val="22"/>
              </w:rPr>
            </w:pPr>
            <w:r>
              <w:rPr>
                <w:rFonts w:eastAsia="SimSun"/>
                <w:i/>
                <w:iCs/>
                <w:color w:val="000000"/>
                <w:sz w:val="22"/>
                <w:szCs w:val="22"/>
                <w:lang w:val="en-US" w:eastAsia="zh-CN" w:bidi="ar"/>
              </w:rPr>
              <w:t>указать 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6"/>
              </w:numPr>
              <w:tabs>
                <w:tab w:val="left" w:pos="600"/>
                <w:tab w:val="clear" w:pos="420"/>
              </w:tabs>
              <w:ind w:left="600"/>
              <w:textAlignment w:val="center"/>
              <w:rPr>
                <w:color w:val="000000"/>
                <w:sz w:val="22"/>
                <w:szCs w:val="22"/>
              </w:rPr>
            </w:pPr>
            <w:r>
              <w:rPr>
                <w:rFonts w:eastAsia="SimSun"/>
                <w:color w:val="000000"/>
                <w:sz w:val="22"/>
                <w:szCs w:val="22"/>
                <w:lang w:eastAsia="zh-CN" w:bidi="ar"/>
              </w:rPr>
              <w:t>наличие специалистов, включенных в национальный реестр НОПРИЗ</w:t>
            </w:r>
          </w:p>
        </w:tc>
        <w:tc>
          <w:tcPr>
            <w:tcW w:w="4242" w:type="dxa"/>
            <w:vAlign w:val="center"/>
          </w:tcPr>
          <w:p>
            <w:pPr>
              <w:jc w:val="center"/>
              <w:textAlignment w:val="center"/>
              <w:rPr>
                <w:i/>
                <w:iCs/>
                <w:color w:val="000000"/>
                <w:sz w:val="22"/>
                <w:szCs w:val="22"/>
              </w:rPr>
            </w:pPr>
            <w:r>
              <w:rPr>
                <w:rFonts w:eastAsia="SimSun"/>
                <w:i/>
                <w:iCs/>
                <w:color w:val="000000"/>
                <w:sz w:val="22"/>
                <w:szCs w:val="22"/>
                <w:lang w:val="en-US" w:eastAsia="zh-CN" w:bidi="ar"/>
              </w:rPr>
              <w:t>указать 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9" w:type="dxa"/>
            <w:vAlign w:val="center"/>
          </w:tcPr>
          <w:p>
            <w:pPr>
              <w:numPr>
                <w:ilvl w:val="0"/>
                <w:numId w:val="16"/>
              </w:numPr>
              <w:tabs>
                <w:tab w:val="left" w:pos="600"/>
                <w:tab w:val="clear" w:pos="420"/>
              </w:tabs>
              <w:ind w:left="600"/>
              <w:textAlignment w:val="center"/>
              <w:rPr>
                <w:color w:val="000000"/>
                <w:sz w:val="22"/>
                <w:szCs w:val="22"/>
              </w:rPr>
            </w:pPr>
            <w:r>
              <w:rPr>
                <w:rFonts w:eastAsia="SimSun"/>
                <w:color w:val="000000"/>
                <w:sz w:val="22"/>
                <w:szCs w:val="22"/>
                <w:lang w:eastAsia="zh-CN" w:bidi="ar"/>
              </w:rPr>
              <w:t>наличие специалистов, включенных в национальный реестр НОСТРОЙ</w:t>
            </w:r>
          </w:p>
        </w:tc>
        <w:tc>
          <w:tcPr>
            <w:tcW w:w="4242" w:type="dxa"/>
            <w:vAlign w:val="center"/>
          </w:tcPr>
          <w:p>
            <w:pPr>
              <w:jc w:val="center"/>
              <w:textAlignment w:val="center"/>
              <w:rPr>
                <w:i/>
                <w:iCs/>
                <w:color w:val="000000"/>
                <w:sz w:val="22"/>
                <w:szCs w:val="22"/>
              </w:rPr>
            </w:pPr>
            <w:r>
              <w:rPr>
                <w:rFonts w:eastAsia="SimSun"/>
                <w:i/>
                <w:iCs/>
                <w:color w:val="000000"/>
                <w:sz w:val="22"/>
                <w:szCs w:val="22"/>
                <w:lang w:val="en-US" w:eastAsia="zh-CN" w:bidi="ar"/>
              </w:rPr>
              <w:t>указать 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6"/>
              </w:numPr>
              <w:tabs>
                <w:tab w:val="left" w:pos="600"/>
                <w:tab w:val="clear" w:pos="420"/>
              </w:tabs>
              <w:ind w:left="600"/>
              <w:textAlignment w:val="center"/>
              <w:rPr>
                <w:color w:val="000000"/>
                <w:sz w:val="22"/>
                <w:szCs w:val="22"/>
              </w:rPr>
            </w:pPr>
            <w:r>
              <w:rPr>
                <w:rFonts w:eastAsia="SimSun"/>
                <w:color w:val="000000"/>
                <w:sz w:val="22"/>
                <w:szCs w:val="22"/>
                <w:lang w:eastAsia="zh-CN" w:bidi="ar"/>
              </w:rPr>
              <w:t>наличие специалистов, имеющих удостоверения НАКС</w:t>
            </w:r>
          </w:p>
        </w:tc>
        <w:tc>
          <w:tcPr>
            <w:tcW w:w="4242" w:type="dxa"/>
            <w:vAlign w:val="center"/>
          </w:tcPr>
          <w:p>
            <w:pPr>
              <w:jc w:val="center"/>
              <w:textAlignment w:val="center"/>
              <w:rPr>
                <w:i/>
                <w:iCs/>
                <w:color w:val="000000"/>
                <w:sz w:val="22"/>
                <w:szCs w:val="22"/>
              </w:rPr>
            </w:pPr>
            <w:r>
              <w:rPr>
                <w:rFonts w:eastAsia="SimSun"/>
                <w:i/>
                <w:iCs/>
                <w:color w:val="000000"/>
                <w:sz w:val="22"/>
                <w:szCs w:val="22"/>
                <w:lang w:val="en-US" w:eastAsia="zh-CN" w:bidi="ar"/>
              </w:rPr>
              <w:t>указать 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6"/>
              </w:numPr>
              <w:tabs>
                <w:tab w:val="left" w:pos="600"/>
                <w:tab w:val="clear" w:pos="420"/>
              </w:tabs>
              <w:ind w:left="600"/>
              <w:textAlignment w:val="center"/>
              <w:rPr>
                <w:color w:val="000000"/>
                <w:sz w:val="22"/>
                <w:szCs w:val="22"/>
                <w:lang w:eastAsia="zh-CN"/>
              </w:rPr>
            </w:pPr>
            <w:r>
              <w:rPr>
                <w:rFonts w:eastAsia="SimSun"/>
                <w:color w:val="000000"/>
                <w:sz w:val="22"/>
                <w:szCs w:val="22"/>
                <w:lang w:eastAsia="zh-CN" w:bidi="ar"/>
              </w:rPr>
              <w:t>наличие специалистов, имеющих 5 группу допуска по электробезопасности</w:t>
            </w:r>
          </w:p>
        </w:tc>
        <w:tc>
          <w:tcPr>
            <w:tcW w:w="4242" w:type="dxa"/>
            <w:vAlign w:val="center"/>
          </w:tcPr>
          <w:p>
            <w:pPr>
              <w:jc w:val="center"/>
              <w:textAlignment w:val="center"/>
              <w:rPr>
                <w:rFonts w:eastAsia="SimSun"/>
                <w:i/>
                <w:iCs/>
                <w:color w:val="000000"/>
                <w:sz w:val="22"/>
                <w:szCs w:val="22"/>
                <w:lang w:val="en-US" w:eastAsia="zh-CN" w:bidi="ar"/>
              </w:rPr>
            </w:pPr>
            <w:r>
              <w:rPr>
                <w:rFonts w:eastAsia="SimSun"/>
                <w:i/>
                <w:iCs/>
                <w:color w:val="000000"/>
                <w:sz w:val="22"/>
                <w:szCs w:val="22"/>
                <w:lang w:val="en-US" w:eastAsia="zh-CN" w:bidi="ar"/>
              </w:rPr>
              <w:t>указать 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91" w:type="dxa"/>
            <w:gridSpan w:val="2"/>
            <w:vAlign w:val="center"/>
          </w:tcPr>
          <w:p>
            <w:pPr>
              <w:rPr>
                <w:i/>
                <w:iCs/>
                <w:color w:val="000000"/>
                <w:sz w:val="22"/>
                <w:szCs w:val="22"/>
              </w:rPr>
            </w:pPr>
            <w:r>
              <w:rPr>
                <w:rFonts w:eastAsia="SimSun"/>
                <w:color w:val="000000"/>
                <w:sz w:val="22"/>
                <w:szCs w:val="22"/>
                <w:lang w:eastAsia="zh-CN" w:bidi="ar"/>
              </w:rPr>
              <w:t>Наличие материально-технических ресурсов, 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6"/>
              </w:numPr>
              <w:tabs>
                <w:tab w:val="left" w:pos="600"/>
                <w:tab w:val="left" w:pos="800"/>
                <w:tab w:val="clear" w:pos="420"/>
              </w:tabs>
              <w:ind w:left="600"/>
              <w:textAlignment w:val="center"/>
              <w:rPr>
                <w:rFonts w:eastAsia="SimSun"/>
                <w:color w:val="000000"/>
                <w:sz w:val="22"/>
                <w:szCs w:val="22"/>
                <w:lang w:eastAsia="zh-CN" w:bidi="ar"/>
              </w:rPr>
            </w:pPr>
            <w:r>
              <w:rPr>
                <w:rFonts w:eastAsia="SimSun"/>
                <w:color w:val="000000"/>
                <w:sz w:val="22"/>
                <w:szCs w:val="22"/>
                <w:lang w:eastAsia="zh-CN" w:bidi="ar"/>
              </w:rPr>
              <w:t>наличие в собственности или аренде производственной площадки</w:t>
            </w:r>
          </w:p>
        </w:tc>
        <w:tc>
          <w:tcPr>
            <w:tcW w:w="4242" w:type="dxa"/>
            <w:vAlign w:val="center"/>
          </w:tcPr>
          <w:p>
            <w:pPr>
              <w:jc w:val="center"/>
              <w:rPr>
                <w:rFonts w:eastAsia="SimSun"/>
                <w:i/>
                <w:iCs/>
                <w:color w:val="000000"/>
                <w:sz w:val="22"/>
                <w:szCs w:val="22"/>
                <w:lang w:eastAsia="zh-CN" w:bidi="ar"/>
              </w:rPr>
            </w:pPr>
            <w:r>
              <w:rPr>
                <w:rFonts w:eastAsia="SimSun"/>
                <w:i/>
                <w:iCs/>
                <w:color w:val="000000"/>
                <w:sz w:val="22"/>
                <w:szCs w:val="22"/>
                <w:lang w:eastAsia="zh-CN" w:bidi="ar"/>
              </w:rPr>
              <w:t>да/нет</w:t>
            </w:r>
          </w:p>
          <w:p>
            <w:pPr>
              <w:jc w:val="center"/>
              <w:rPr>
                <w:i/>
                <w:iCs/>
                <w:color w:val="000000"/>
                <w:sz w:val="22"/>
                <w:szCs w:val="22"/>
              </w:rPr>
            </w:pPr>
            <w:r>
              <w:rPr>
                <w:rFonts w:eastAsia="SimSun"/>
                <w:i/>
                <w:iCs/>
                <w:color w:val="000000"/>
                <w:sz w:val="22"/>
                <w:szCs w:val="22"/>
                <w:lang w:eastAsia="zh-CN" w:bidi="ar"/>
              </w:rPr>
              <w:t>при наличии указать площадь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6"/>
              </w:numPr>
              <w:tabs>
                <w:tab w:val="left" w:pos="600"/>
                <w:tab w:val="left" w:pos="800"/>
                <w:tab w:val="clear" w:pos="420"/>
              </w:tabs>
              <w:ind w:left="600"/>
              <w:textAlignment w:val="center"/>
              <w:rPr>
                <w:color w:val="000000"/>
                <w:sz w:val="22"/>
                <w:szCs w:val="22"/>
              </w:rPr>
            </w:pPr>
            <w:r>
              <w:rPr>
                <w:rFonts w:eastAsia="SimSun"/>
                <w:color w:val="000000"/>
                <w:sz w:val="22"/>
                <w:szCs w:val="22"/>
                <w:lang w:eastAsia="zh-CN" w:bidi="ar"/>
              </w:rPr>
              <w:t>наличие в собственности или аренде автотранспорта и спецтехники</w:t>
            </w:r>
          </w:p>
        </w:tc>
        <w:tc>
          <w:tcPr>
            <w:tcW w:w="4242" w:type="dxa"/>
            <w:vAlign w:val="center"/>
          </w:tcPr>
          <w:p>
            <w:pPr>
              <w:jc w:val="center"/>
              <w:rPr>
                <w:rFonts w:eastAsia="SimSun"/>
                <w:i/>
                <w:iCs/>
                <w:color w:val="000000"/>
                <w:sz w:val="22"/>
                <w:szCs w:val="22"/>
                <w:lang w:eastAsia="zh-CN" w:bidi="ar"/>
              </w:rPr>
            </w:pPr>
            <w:r>
              <w:rPr>
                <w:rFonts w:eastAsia="SimSun"/>
                <w:i/>
                <w:iCs/>
                <w:color w:val="000000"/>
                <w:sz w:val="22"/>
                <w:szCs w:val="22"/>
                <w:lang w:eastAsia="zh-CN" w:bidi="ar"/>
              </w:rPr>
              <w:t>да/нет</w:t>
            </w:r>
          </w:p>
          <w:p>
            <w:pPr>
              <w:jc w:val="center"/>
              <w:rPr>
                <w:i/>
                <w:iCs/>
                <w:color w:val="000000"/>
                <w:sz w:val="22"/>
                <w:szCs w:val="22"/>
              </w:rPr>
            </w:pPr>
            <w:r>
              <w:rPr>
                <w:rFonts w:eastAsia="SimSun"/>
                <w:i/>
                <w:iCs/>
                <w:color w:val="000000"/>
                <w:sz w:val="22"/>
                <w:szCs w:val="22"/>
                <w:lang w:eastAsia="zh-CN" w:bidi="ar"/>
              </w:rPr>
              <w:t>при наличии указать 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6"/>
              </w:numPr>
              <w:tabs>
                <w:tab w:val="left" w:pos="600"/>
                <w:tab w:val="left" w:pos="800"/>
                <w:tab w:val="clear" w:pos="420"/>
              </w:tabs>
              <w:ind w:left="600"/>
              <w:textAlignment w:val="center"/>
              <w:rPr>
                <w:color w:val="000000"/>
                <w:sz w:val="22"/>
                <w:szCs w:val="22"/>
              </w:rPr>
            </w:pPr>
            <w:r>
              <w:rPr>
                <w:rFonts w:eastAsia="SimSun"/>
                <w:color w:val="000000"/>
                <w:sz w:val="22"/>
                <w:szCs w:val="22"/>
                <w:lang w:eastAsia="zh-CN" w:bidi="ar"/>
              </w:rPr>
              <w:t>наличие сооружений для обустройства строительного городка</w:t>
            </w:r>
          </w:p>
        </w:tc>
        <w:tc>
          <w:tcPr>
            <w:tcW w:w="4242" w:type="dxa"/>
            <w:vAlign w:val="center"/>
          </w:tcPr>
          <w:p>
            <w:pPr>
              <w:jc w:val="center"/>
              <w:textAlignment w:val="center"/>
              <w:rPr>
                <w:i/>
                <w:iCs/>
                <w:color w:val="000000"/>
                <w:sz w:val="22"/>
                <w:szCs w:val="22"/>
              </w:rPr>
            </w:pPr>
            <w:r>
              <w:rPr>
                <w:rFonts w:eastAsia="SimSun"/>
                <w:i/>
                <w:iCs/>
                <w:color w:val="000000"/>
                <w:sz w:val="22"/>
                <w:szCs w:val="22"/>
                <w:lang w:eastAsia="zh-CN" w:bidi="ar"/>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6"/>
              </w:numPr>
              <w:tabs>
                <w:tab w:val="left" w:pos="600"/>
                <w:tab w:val="left" w:pos="800"/>
                <w:tab w:val="clear" w:pos="420"/>
              </w:tabs>
              <w:ind w:left="600"/>
              <w:textAlignment w:val="center"/>
              <w:rPr>
                <w:rFonts w:eastAsia="SimSun"/>
                <w:color w:val="000000"/>
                <w:sz w:val="22"/>
                <w:szCs w:val="22"/>
                <w:lang w:eastAsia="zh-CN" w:bidi="ar"/>
              </w:rPr>
            </w:pPr>
            <w:r>
              <w:rPr>
                <w:rFonts w:eastAsia="SimSun"/>
                <w:color w:val="000000"/>
                <w:sz w:val="22"/>
                <w:szCs w:val="22"/>
                <w:lang w:eastAsia="zh-CN"/>
              </w:rPr>
              <w:t>балансовая стоимость машин, механизмов, оборудования, инструмента и производственного инвентаря (активной части основных фондов) за 2021 г., руб.</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91" w:type="dxa"/>
            <w:gridSpan w:val="2"/>
            <w:vAlign w:val="center"/>
          </w:tcPr>
          <w:p>
            <w:pPr>
              <w:textAlignment w:val="center"/>
              <w:rPr>
                <w:rFonts w:eastAsia="SimSun"/>
                <w:i/>
                <w:iCs/>
                <w:color w:val="000000"/>
                <w:sz w:val="22"/>
                <w:szCs w:val="22"/>
                <w:lang w:eastAsia="zh-CN" w:bidi="ar"/>
              </w:rPr>
            </w:pPr>
            <w:r>
              <w:rPr>
                <w:rFonts w:eastAsia="SimSun"/>
                <w:color w:val="000000"/>
                <w:sz w:val="22"/>
                <w:szCs w:val="22"/>
                <w:lang w:eastAsia="zh-CN" w:bidi="ar"/>
              </w:rPr>
              <w:t>Деловая репутация, 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600"/>
                <w:tab w:val="left" w:pos="800"/>
              </w:tabs>
              <w:textAlignment w:val="center"/>
              <w:rPr>
                <w:rFonts w:eastAsia="SimSun"/>
                <w:color w:val="000000"/>
                <w:sz w:val="22"/>
                <w:szCs w:val="22"/>
                <w:lang w:eastAsia="zh-CN" w:bidi="ar"/>
              </w:rPr>
            </w:pPr>
            <w:r>
              <w:rPr>
                <w:rFonts w:eastAsia="SimSun"/>
                <w:color w:val="000000"/>
                <w:sz w:val="22"/>
                <w:szCs w:val="22"/>
                <w:lang w:eastAsia="zh-CN" w:bidi="ar"/>
              </w:rPr>
              <w:t>наличие</w:t>
            </w:r>
            <w:r>
              <w:rPr>
                <w:rFonts w:eastAsia="SimSun"/>
                <w:color w:val="000000"/>
                <w:sz w:val="22"/>
                <w:szCs w:val="22"/>
                <w:lang w:eastAsia="zh-CN"/>
              </w:rPr>
              <w:t xml:space="preserve"> положительных отзывов о деятельности компании</w:t>
            </w:r>
          </w:p>
        </w:tc>
        <w:tc>
          <w:tcPr>
            <w:tcW w:w="4242" w:type="dxa"/>
            <w:vAlign w:val="center"/>
          </w:tcPr>
          <w:p>
            <w:pPr>
              <w:jc w:val="center"/>
              <w:textAlignment w:val="center"/>
              <w:rPr>
                <w:rFonts w:eastAsia="SimSun"/>
                <w:i/>
                <w:iCs/>
                <w:color w:val="000000"/>
                <w:sz w:val="22"/>
                <w:szCs w:val="22"/>
                <w:lang w:val="en-US"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600"/>
                <w:tab w:val="left" w:pos="800"/>
              </w:tabs>
              <w:textAlignment w:val="center"/>
              <w:rPr>
                <w:rFonts w:eastAsia="SimSun"/>
                <w:color w:val="000000"/>
                <w:sz w:val="22"/>
                <w:szCs w:val="22"/>
                <w:lang w:eastAsia="zh-CN" w:bidi="ar"/>
              </w:rPr>
            </w:pPr>
            <w:r>
              <w:rPr>
                <w:sz w:val="22"/>
                <w:szCs w:val="22"/>
              </w:rPr>
              <w:t>наличие судебных решений по искам третьих лиц в отношении дел, связанных с неисполнением и/или ненадлежащим исполнением участником обязательств по договорам, вынесенных за последний год до дня окончания подачи заявок не в пользу участника на общую сумму обязательств по указанным договорам в размере более 20 (двадцати) млн руб.</w:t>
            </w:r>
          </w:p>
        </w:tc>
        <w:tc>
          <w:tcPr>
            <w:tcW w:w="4242" w:type="dxa"/>
            <w:vAlign w:val="center"/>
          </w:tcPr>
          <w:p>
            <w:pPr>
              <w:jc w:val="center"/>
              <w:textAlignment w:val="center"/>
              <w:rPr>
                <w:rFonts w:eastAsia="SimSun"/>
                <w:i/>
                <w:iCs/>
                <w:color w:val="000000"/>
                <w:sz w:val="22"/>
                <w:szCs w:val="22"/>
                <w:lang w:val="en-US"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600"/>
                <w:tab w:val="left" w:pos="800"/>
              </w:tabs>
              <w:textAlignment w:val="center"/>
              <w:rPr>
                <w:rFonts w:eastAsia="SimSun"/>
                <w:color w:val="000000"/>
                <w:sz w:val="22"/>
                <w:szCs w:val="22"/>
                <w:lang w:eastAsia="zh-CN" w:bidi="ar"/>
              </w:rPr>
            </w:pPr>
            <w:r>
              <w:rPr>
                <w:sz w:val="22"/>
                <w:szCs w:val="22"/>
              </w:rPr>
              <w:t>наличие исполнительного производства (одного и более) в отношении участника на день окончания подачи заявок, открытых за последний год до дня окончания подачи заявок на общую сумму в размере более 5 (пяти) млн</w:t>
            </w:r>
            <w:r>
              <w:rPr>
                <w:color w:val="FF0000"/>
                <w:sz w:val="22"/>
                <w:szCs w:val="22"/>
              </w:rPr>
              <w:t xml:space="preserve"> </w:t>
            </w:r>
            <w:r>
              <w:rPr>
                <w:sz w:val="22"/>
                <w:szCs w:val="22"/>
              </w:rPr>
              <w:t>руб.</w:t>
            </w:r>
          </w:p>
        </w:tc>
        <w:tc>
          <w:tcPr>
            <w:tcW w:w="4242" w:type="dxa"/>
            <w:vAlign w:val="center"/>
          </w:tcPr>
          <w:p>
            <w:pPr>
              <w:jc w:val="center"/>
              <w:textAlignment w:val="center"/>
              <w:rPr>
                <w:rFonts w:eastAsia="SimSun"/>
                <w:i/>
                <w:iCs/>
                <w:color w:val="000000"/>
                <w:sz w:val="22"/>
                <w:szCs w:val="22"/>
                <w:lang w:val="en-US"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600"/>
                <w:tab w:val="left" w:pos="800"/>
              </w:tabs>
              <w:textAlignment w:val="center"/>
              <w:rPr>
                <w:sz w:val="22"/>
                <w:szCs w:val="22"/>
              </w:rPr>
            </w:pPr>
            <w:r>
              <w:rPr>
                <w:sz w:val="22"/>
                <w:szCs w:val="22"/>
              </w:rPr>
              <w:t>доля привлеченных средств в пассивах по данным бухгалтерской отчетности за 2022 год меньше 70% , где:</w:t>
            </w:r>
          </w:p>
          <w:p>
            <w:pPr>
              <w:tabs>
                <w:tab w:val="left" w:pos="600"/>
                <w:tab w:val="left" w:pos="800"/>
              </w:tabs>
              <w:ind w:left="400" w:leftChars="200"/>
              <w:textAlignment w:val="center"/>
              <w:rPr>
                <w:sz w:val="22"/>
                <w:szCs w:val="22"/>
                <w:lang w:eastAsia="zh-CN"/>
              </w:rPr>
            </w:pPr>
            <w:r>
              <w:rPr>
                <w:sz w:val="22"/>
                <w:szCs w:val="22"/>
              </w:rPr>
              <w:t>доля привлеченных средств в пассивах = (код строки 1400 + код строки 1500) / код строки 1700 х 100</w:t>
            </w:r>
          </w:p>
        </w:tc>
        <w:tc>
          <w:tcPr>
            <w:tcW w:w="4242" w:type="dxa"/>
            <w:vAlign w:val="center"/>
          </w:tcPr>
          <w:p>
            <w:pPr>
              <w:jc w:val="center"/>
              <w:textAlignment w:val="center"/>
              <w:rPr>
                <w:rFonts w:eastAsia="SimSun"/>
                <w:i/>
                <w:iCs/>
                <w:color w:val="000000"/>
                <w:sz w:val="22"/>
                <w:szCs w:val="22"/>
                <w:lang w:val="en-US"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textAlignment w:val="center"/>
              <w:rPr>
                <w:sz w:val="22"/>
                <w:szCs w:val="22"/>
              </w:rPr>
            </w:pPr>
            <w:r>
              <w:rPr>
                <w:rFonts w:eastAsia="SimSun"/>
                <w:color w:val="000000"/>
                <w:sz w:val="22"/>
                <w:szCs w:val="22"/>
                <w:lang w:eastAsia="zh-CN" w:bidi="ar"/>
              </w:rPr>
              <w:t>Аккредитация (предквалификация) в крупнейших российских компаниях, в том числе:</w:t>
            </w:r>
          </w:p>
        </w:tc>
        <w:tc>
          <w:tcPr>
            <w:tcW w:w="4242" w:type="dxa"/>
            <w:vAlign w:val="center"/>
          </w:tcPr>
          <w:p>
            <w:pPr>
              <w:jc w:val="center"/>
              <w:textAlignment w:val="center"/>
              <w:rPr>
                <w:rFonts w:eastAsia="SimSun"/>
                <w:i/>
                <w:iCs/>
                <w:color w:val="000000"/>
                <w:sz w:val="22"/>
                <w:szCs w:val="2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1000"/>
                <w:tab w:val="left" w:pos="1200"/>
                <w:tab w:val="clear" w:pos="420"/>
              </w:tabs>
              <w:ind w:left="1200"/>
              <w:textAlignment w:val="center"/>
              <w:rPr>
                <w:sz w:val="22"/>
                <w:szCs w:val="22"/>
              </w:rPr>
            </w:pPr>
            <w:r>
              <w:rPr>
                <w:rFonts w:eastAsia="SimSun"/>
                <w:color w:val="000000"/>
                <w:sz w:val="22"/>
                <w:szCs w:val="22"/>
                <w:lang w:eastAsia="zh-CN" w:bidi="ar"/>
              </w:rPr>
              <w:t>«</w:t>
            </w:r>
            <w:r>
              <w:rPr>
                <w:rFonts w:eastAsia="SimSun"/>
                <w:color w:val="000000"/>
                <w:sz w:val="22"/>
                <w:szCs w:val="22"/>
                <w:lang w:val="en-US" w:eastAsia="zh-CN" w:bidi="ar"/>
              </w:rPr>
              <w:t>Росэнергоатом»</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1000"/>
                <w:tab w:val="left" w:pos="1200"/>
                <w:tab w:val="clear" w:pos="420"/>
              </w:tabs>
              <w:ind w:left="1200"/>
              <w:textAlignment w:val="center"/>
              <w:rPr>
                <w:sz w:val="22"/>
                <w:szCs w:val="22"/>
              </w:rPr>
            </w:pPr>
            <w:r>
              <w:rPr>
                <w:rFonts w:eastAsia="SimSun"/>
                <w:color w:val="000000"/>
                <w:sz w:val="22"/>
                <w:szCs w:val="22"/>
                <w:lang w:val="en-US" w:eastAsia="zh-CN" w:bidi="ar"/>
              </w:rPr>
              <w:t>«Газпром»</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1000"/>
                <w:tab w:val="left" w:pos="1200"/>
                <w:tab w:val="clear" w:pos="420"/>
              </w:tabs>
              <w:ind w:left="1200"/>
              <w:textAlignment w:val="center"/>
              <w:rPr>
                <w:sz w:val="22"/>
                <w:szCs w:val="22"/>
              </w:rPr>
            </w:pPr>
            <w:r>
              <w:rPr>
                <w:rFonts w:eastAsia="SimSun"/>
                <w:color w:val="000000"/>
                <w:sz w:val="22"/>
                <w:szCs w:val="22"/>
                <w:lang w:val="en-US" w:eastAsia="zh-CN" w:bidi="ar"/>
              </w:rPr>
              <w:t>«Роснефть»</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1000"/>
                <w:tab w:val="left" w:pos="1200"/>
                <w:tab w:val="clear" w:pos="420"/>
              </w:tabs>
              <w:ind w:left="1200"/>
              <w:textAlignment w:val="center"/>
              <w:rPr>
                <w:sz w:val="22"/>
                <w:szCs w:val="22"/>
              </w:rPr>
            </w:pPr>
            <w:r>
              <w:rPr>
                <w:rFonts w:eastAsia="SimSun"/>
                <w:color w:val="000000"/>
                <w:sz w:val="22"/>
                <w:szCs w:val="22"/>
                <w:lang w:val="en-US" w:eastAsia="zh-CN" w:bidi="ar"/>
              </w:rPr>
              <w:t>«РусГидро»</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1000"/>
                <w:tab w:val="left" w:pos="1200"/>
                <w:tab w:val="clear" w:pos="420"/>
              </w:tabs>
              <w:ind w:left="1200"/>
              <w:textAlignment w:val="center"/>
              <w:rPr>
                <w:sz w:val="22"/>
                <w:szCs w:val="22"/>
              </w:rPr>
            </w:pPr>
            <w:r>
              <w:rPr>
                <w:rFonts w:eastAsia="SimSun"/>
                <w:color w:val="000000"/>
                <w:sz w:val="22"/>
                <w:szCs w:val="22"/>
                <w:lang w:val="en-US" w:eastAsia="zh-CN" w:bidi="ar"/>
              </w:rPr>
              <w:t>«ТНК-BP»</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9" w:type="dxa"/>
            <w:vAlign w:val="center"/>
          </w:tcPr>
          <w:p>
            <w:pPr>
              <w:numPr>
                <w:ilvl w:val="0"/>
                <w:numId w:val="17"/>
              </w:numPr>
              <w:tabs>
                <w:tab w:val="left" w:pos="1000"/>
                <w:tab w:val="left" w:pos="1200"/>
                <w:tab w:val="clear" w:pos="420"/>
              </w:tabs>
              <w:ind w:left="1200"/>
              <w:textAlignment w:val="center"/>
              <w:rPr>
                <w:sz w:val="22"/>
                <w:szCs w:val="22"/>
              </w:rPr>
            </w:pPr>
            <w:r>
              <w:rPr>
                <w:rFonts w:eastAsia="SimSun"/>
                <w:color w:val="000000"/>
                <w:sz w:val="22"/>
                <w:szCs w:val="22"/>
                <w:lang w:val="en-US" w:eastAsia="zh-CN" w:bidi="ar"/>
              </w:rPr>
              <w:t>«Газпром»</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1000"/>
                <w:tab w:val="left" w:pos="1200"/>
                <w:tab w:val="clear" w:pos="420"/>
              </w:tabs>
              <w:ind w:left="1200"/>
              <w:textAlignment w:val="center"/>
              <w:rPr>
                <w:sz w:val="22"/>
                <w:szCs w:val="22"/>
              </w:rPr>
            </w:pPr>
            <w:r>
              <w:rPr>
                <w:rFonts w:eastAsia="SimSun"/>
                <w:color w:val="000000"/>
                <w:sz w:val="22"/>
                <w:szCs w:val="22"/>
                <w:lang w:val="en-US" w:eastAsia="zh-CN" w:bidi="ar"/>
              </w:rPr>
              <w:t>«Лукойл»</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1000"/>
                <w:tab w:val="left" w:pos="1200"/>
                <w:tab w:val="clear" w:pos="420"/>
              </w:tabs>
              <w:ind w:left="1200"/>
              <w:textAlignment w:val="center"/>
              <w:rPr>
                <w:sz w:val="22"/>
                <w:szCs w:val="22"/>
              </w:rPr>
            </w:pPr>
            <w:r>
              <w:rPr>
                <w:rFonts w:eastAsia="SimSun"/>
                <w:color w:val="000000"/>
                <w:sz w:val="22"/>
                <w:szCs w:val="22"/>
                <w:lang w:val="en-US" w:eastAsia="zh-CN" w:bidi="ar"/>
              </w:rPr>
              <w:t>«Транснефть»</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1000"/>
                <w:tab w:val="left" w:pos="1200"/>
                <w:tab w:val="clear" w:pos="420"/>
              </w:tabs>
              <w:ind w:left="1200"/>
              <w:textAlignment w:val="center"/>
              <w:rPr>
                <w:sz w:val="22"/>
                <w:szCs w:val="22"/>
              </w:rPr>
            </w:pPr>
            <w:r>
              <w:rPr>
                <w:rFonts w:eastAsia="SimSun"/>
                <w:color w:val="000000"/>
                <w:sz w:val="22"/>
                <w:szCs w:val="22"/>
                <w:lang w:val="en-US" w:eastAsia="zh-CN" w:bidi="ar"/>
              </w:rPr>
              <w:t>«Роснефть»</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1000"/>
                <w:tab w:val="left" w:pos="1200"/>
                <w:tab w:val="clear" w:pos="420"/>
              </w:tabs>
              <w:ind w:left="1200"/>
              <w:textAlignment w:val="center"/>
              <w:rPr>
                <w:sz w:val="22"/>
                <w:szCs w:val="22"/>
              </w:rPr>
            </w:pPr>
            <w:r>
              <w:rPr>
                <w:rFonts w:eastAsia="SimSun"/>
                <w:color w:val="000000"/>
                <w:sz w:val="22"/>
                <w:szCs w:val="22"/>
                <w:lang w:val="en-US" w:eastAsia="zh-CN" w:bidi="ar"/>
              </w:rPr>
              <w:t>«РЖД»</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49" w:type="dxa"/>
            <w:vAlign w:val="center"/>
          </w:tcPr>
          <w:p>
            <w:pPr>
              <w:numPr>
                <w:ilvl w:val="0"/>
                <w:numId w:val="17"/>
              </w:numPr>
              <w:tabs>
                <w:tab w:val="left" w:pos="1000"/>
                <w:tab w:val="left" w:pos="1200"/>
                <w:tab w:val="clear" w:pos="420"/>
              </w:tabs>
              <w:ind w:left="1200"/>
              <w:textAlignment w:val="center"/>
              <w:rPr>
                <w:rFonts w:eastAsia="SimSun"/>
                <w:color w:val="000000"/>
                <w:sz w:val="22"/>
                <w:szCs w:val="22"/>
                <w:lang w:val="en-US" w:eastAsia="zh-CN" w:bidi="ar"/>
              </w:rPr>
            </w:pPr>
            <w:r>
              <w:rPr>
                <w:rFonts w:eastAsia="SimSun"/>
                <w:color w:val="000000"/>
                <w:sz w:val="22"/>
                <w:szCs w:val="22"/>
                <w:lang w:eastAsia="zh-CN" w:bidi="ar"/>
              </w:rPr>
              <w:t>в иных компаниях</w:t>
            </w:r>
          </w:p>
        </w:tc>
        <w:tc>
          <w:tcPr>
            <w:tcW w:w="4242" w:type="dxa"/>
            <w:vAlign w:val="center"/>
          </w:tcPr>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да /нет</w:t>
            </w:r>
          </w:p>
          <w:p>
            <w:pPr>
              <w:jc w:val="center"/>
              <w:textAlignment w:val="center"/>
              <w:rPr>
                <w:rFonts w:eastAsia="SimSun"/>
                <w:i/>
                <w:iCs/>
                <w:color w:val="000000"/>
                <w:sz w:val="22"/>
                <w:szCs w:val="22"/>
                <w:lang w:eastAsia="zh-CN" w:bidi="ar"/>
              </w:rPr>
            </w:pPr>
            <w:r>
              <w:rPr>
                <w:rFonts w:eastAsia="SimSun"/>
                <w:i/>
                <w:iCs/>
                <w:color w:val="000000"/>
                <w:sz w:val="22"/>
                <w:szCs w:val="22"/>
                <w:lang w:eastAsia="zh-CN" w:bidi="ar"/>
              </w:rPr>
              <w:t xml:space="preserve">при наличии </w:t>
            </w:r>
            <w:r>
              <w:rPr>
                <w:rFonts w:eastAsia="SimSun"/>
                <w:i/>
                <w:iCs/>
                <w:color w:val="000000"/>
                <w:sz w:val="22"/>
                <w:szCs w:val="22"/>
                <w:lang w:val="en-US" w:eastAsia="zh-CN" w:bidi="ar"/>
              </w:rPr>
              <w:t>указат</w:t>
            </w:r>
            <w:r>
              <w:rPr>
                <w:rFonts w:eastAsia="SimSun"/>
                <w:i/>
                <w:iCs/>
                <w:color w:val="000000"/>
                <w:sz w:val="22"/>
                <w:szCs w:val="22"/>
                <w:lang w:eastAsia="zh-CN" w:bidi="ar"/>
              </w:rPr>
              <w:t>ь</w:t>
            </w:r>
          </w:p>
        </w:tc>
      </w:tr>
    </w:tbl>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Arial Unicode MS"/>
          <w:i/>
          <w:sz w:val="22"/>
          <w:szCs w:val="22"/>
          <w:lang w:eastAsia="zh-CN"/>
        </w:rPr>
      </w:pPr>
      <w:r>
        <w:rPr>
          <w:rFonts w:eastAsia="Arial Unicode MS"/>
          <w:sz w:val="22"/>
          <w:szCs w:val="22"/>
          <w:lang w:eastAsia="zh-CN"/>
        </w:rPr>
        <w:t>Изучив в полном объеме Документацию об отборе, и, не имея претензий к его содержанию, участник соглашается участвовать в предварительном квалификационном отборе на указанных условиях отбора. Участник направляет настоящую заявку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tabs>
          <w:tab w:val="left" w:pos="709"/>
        </w:tabs>
        <w:suppressAutoHyphens/>
        <w:jc w:val="both"/>
        <w:rPr>
          <w:rFonts w:eastAsia="Calibri"/>
          <w:sz w:val="22"/>
          <w:szCs w:val="22"/>
          <w:lang w:eastAsia="zh-CN"/>
        </w:rPr>
      </w:pPr>
      <w:r>
        <w:rPr>
          <w:rFonts w:eastAsia="Calibri"/>
          <w:sz w:val="22"/>
          <w:szCs w:val="22"/>
          <w:lang w:eastAsia="zh-CN"/>
        </w:rPr>
        <w:tab/>
      </w:r>
      <w:r>
        <w:rPr>
          <w:rFonts w:eastAsia="Calibri"/>
          <w:sz w:val="22"/>
          <w:szCs w:val="22"/>
          <w:lang w:eastAsia="zh-CN"/>
        </w:rPr>
        <w:t xml:space="preserve">Подтверждаем соответствие требованиям, установленным </w:t>
      </w:r>
      <w:r>
        <w:rPr>
          <w:rFonts w:eastAsia="Arial Unicode MS"/>
          <w:sz w:val="22"/>
          <w:szCs w:val="22"/>
          <w:lang w:eastAsia="zh-CN"/>
        </w:rPr>
        <w:t>Документации об отборе</w:t>
      </w:r>
      <w:r>
        <w:rPr>
          <w:rFonts w:eastAsia="Calibri"/>
          <w:sz w:val="22"/>
          <w:szCs w:val="22"/>
          <w:lang w:eastAsia="zh-CN"/>
        </w:rPr>
        <w:t>:</w:t>
      </w:r>
    </w:p>
    <w:p>
      <w:pPr>
        <w:widowControl w:val="0"/>
        <w:tabs>
          <w:tab w:val="left" w:pos="709"/>
        </w:tabs>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является правомочным заключать договор;</w:t>
      </w:r>
    </w:p>
    <w:p>
      <w:pPr>
        <w:widowControl w:val="0"/>
        <w:tabs>
          <w:tab w:val="left" w:pos="709"/>
        </w:tabs>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находится в процессе ликвидации (для юридического лица), реорганизации и/или не признан по решению арбитражного суда несостоятельным (банкротом);</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pPr>
        <w:jc w:val="both"/>
        <w:rPr>
          <w:sz w:val="22"/>
          <w:szCs w:val="22"/>
        </w:rPr>
      </w:pPr>
      <w:r>
        <w:rPr>
          <w:sz w:val="22"/>
          <w:szCs w:val="22"/>
        </w:rPr>
        <w:t>-</w:t>
      </w: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 </w:t>
      </w:r>
      <w:r>
        <w:rPr>
          <w:sz w:val="22"/>
          <w:szCs w:val="22"/>
        </w:rPr>
        <w:t xml:space="preserve">не имеет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процедуры предварительного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Pr>
          <w:rFonts w:eastAsia="Arial Unicode MS"/>
          <w:color w:val="000000" w:themeColor="text1"/>
          <w:sz w:val="22"/>
          <w:szCs w:val="22"/>
          <w:lang w:eastAsia="zh-CN"/>
          <w14:textFill>
            <w14:solidFill>
              <w14:schemeClr w14:val="tx1"/>
            </w14:solidFill>
          </w14:textFill>
        </w:rPr>
        <w:t>Отборе</w:t>
      </w:r>
      <w:r>
        <w:rPr>
          <w:sz w:val="22"/>
          <w:szCs w:val="22"/>
        </w:rPr>
        <w:t xml:space="preserve"> не принято);</w:t>
      </w:r>
    </w:p>
    <w:p>
      <w:pPr>
        <w:jc w:val="both"/>
        <w:rPr>
          <w:sz w:val="22"/>
          <w:szCs w:val="22"/>
        </w:rPr>
      </w:pPr>
      <w:r>
        <w:rPr>
          <w:sz w:val="22"/>
          <w:szCs w:val="22"/>
        </w:rPr>
        <w:t xml:space="preserve">- деятельность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приостановлена в порядке, установленном Кодексом Российской Федерации об административных правонарушениях;</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закупочной документации; </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включен в Федеральные реестры недобросовестных поставщиков;</w:t>
      </w:r>
    </w:p>
    <w:p>
      <w:pPr>
        <w:jc w:val="both"/>
        <w:rPr>
          <w:sz w:val="22"/>
          <w:szCs w:val="22"/>
        </w:rPr>
      </w:pPr>
      <w:r>
        <w:rPr>
          <w:sz w:val="22"/>
          <w:szCs w:val="22"/>
        </w:rPr>
        <w:t xml:space="preserve">- у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pPr>
        <w:jc w:val="both"/>
        <w:rPr>
          <w:sz w:val="22"/>
          <w:szCs w:val="22"/>
        </w:rPr>
      </w:pPr>
      <w:r>
        <w:rPr>
          <w:rFonts w:eastAsia="Calibri"/>
          <w:sz w:val="22"/>
          <w:szCs w:val="22"/>
          <w:lang w:eastAsia="zh-CN"/>
        </w:rPr>
        <w:t xml:space="preserve">- У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 юридического лица отсутствует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jc w:val="both"/>
        <w:rPr>
          <w:sz w:val="22"/>
          <w:szCs w:val="22"/>
        </w:rPr>
      </w:pPr>
      <w:r>
        <w:rPr>
          <w:rFonts w:eastAsia="Calibri"/>
          <w:sz w:val="22"/>
          <w:szCs w:val="22"/>
          <w:lang w:eastAsia="zh-CN"/>
        </w:rPr>
        <w:t xml:space="preserve">- Между участником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и Заказчиком отсутствует конфликт интересов;</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является оффшорной компанией;</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pPr>
        <w:jc w:val="both"/>
        <w:rPr>
          <w:sz w:val="22"/>
          <w:szCs w:val="22"/>
        </w:rPr>
      </w:pPr>
    </w:p>
    <w:p>
      <w:pPr>
        <w:widowControl w:val="0"/>
        <w:pBdr>
          <w:top w:val="none" w:color="000000" w:sz="0" w:space="0"/>
          <w:left w:val="none" w:color="000000" w:sz="0" w:space="0"/>
          <w:bottom w:val="none" w:color="000000" w:sz="0" w:space="0"/>
          <w:right w:val="none" w:color="000000" w:sz="0" w:space="0"/>
        </w:pBdr>
        <w:tabs>
          <w:tab w:val="left" w:pos="709"/>
          <w:tab w:val="left" w:pos="993"/>
        </w:tabs>
        <w:suppressAutoHyphens/>
        <w:ind w:firstLine="709"/>
        <w:jc w:val="both"/>
        <w:rPr>
          <w:rFonts w:eastAsia="Calibri"/>
          <w:sz w:val="22"/>
          <w:szCs w:val="22"/>
          <w:lang w:eastAsia="zh-CN"/>
        </w:rPr>
      </w:pPr>
      <w:r>
        <w:rPr>
          <w:rFonts w:eastAsia="Calibri"/>
          <w:sz w:val="22"/>
          <w:szCs w:val="22"/>
          <w:lang w:eastAsia="zh-CN"/>
        </w:rPr>
        <w:t>Гарантируем достоверность представленной в заявке информации и подтверждает право Заказчика, не противоречащее требованию формировании равных для всех участников условий, запрашивать в уполномоченных органах власти и у упомянутых в заявке юридических лиц и индивидуальных предпринимателях информацию, уточняющую представленные в ней сведения, в том числе сведения о соисполнителях.</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sz w:val="22"/>
          <w:szCs w:val="22"/>
          <w:lang w:eastAsia="zh-CN"/>
        </w:rPr>
      </w:pPr>
      <w:r>
        <w:rPr>
          <w:rFonts w:eastAsia="Calibri"/>
          <w:bCs/>
          <w:sz w:val="22"/>
          <w:szCs w:val="22"/>
          <w:lang w:eastAsia="zh-CN"/>
        </w:rPr>
        <w:t xml:space="preserve">Для оперативного уведомления участника по вопросам организационного характера и взаимодействия с Заказчиком участником уполномочен </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i/>
          <w:sz w:val="22"/>
          <w:szCs w:val="22"/>
          <w:vertAlign w:val="superscript"/>
          <w:lang w:eastAsia="zh-CN"/>
        </w:rPr>
      </w:pPr>
      <w:r>
        <w:rPr>
          <w:rFonts w:eastAsia="Calibri"/>
          <w:bCs/>
          <w:sz w:val="22"/>
          <w:szCs w:val="22"/>
          <w:lang w:eastAsia="zh-CN"/>
        </w:rPr>
        <w:t>_______________________________________________________________________</w:t>
      </w:r>
      <w:r>
        <w:rPr>
          <w:rFonts w:eastAsia="Calibri"/>
          <w:bCs/>
          <w:sz w:val="22"/>
          <w:szCs w:val="22"/>
          <w:lang w:eastAsia="zh-CN"/>
        </w:rPr>
        <w:br w:type="textWrapping"/>
      </w:r>
      <w:r>
        <w:rPr>
          <w:rFonts w:eastAsia="Calibri"/>
          <w:bCs/>
          <w:i/>
          <w:sz w:val="22"/>
          <w:szCs w:val="22"/>
          <w:vertAlign w:val="superscript"/>
          <w:lang w:eastAsia="zh-CN"/>
        </w:rPr>
        <w:t xml:space="preserve">                                                                            (Ф.И.О. уполномоченного лица, адрес, телефон, факс)</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2"/>
          <w:szCs w:val="22"/>
          <w:lang w:eastAsia="zh-CN"/>
        </w:rPr>
      </w:pPr>
      <w:r>
        <w:rPr>
          <w:rFonts w:eastAsia="Calibri"/>
          <w:sz w:val="22"/>
          <w:szCs w:val="22"/>
          <w:lang w:eastAsia="zh-CN"/>
        </w:rPr>
        <w:t>Все сведения просим сообщать указанному уполномоченному лицу.</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2"/>
          <w:szCs w:val="22"/>
          <w:lang w:eastAsia="zh-CN"/>
        </w:rPr>
      </w:pPr>
      <w:r>
        <w:rPr>
          <w:rFonts w:eastAsia="Arial Unicode MS"/>
          <w:sz w:val="22"/>
          <w:szCs w:val="22"/>
          <w:lang w:eastAsia="zh-CN"/>
        </w:rPr>
        <w:t>Документация об отборе</w:t>
      </w:r>
      <w:r>
        <w:rPr>
          <w:rFonts w:eastAsia="Calibri"/>
          <w:sz w:val="22"/>
          <w:szCs w:val="22"/>
          <w:lang w:eastAsia="zh-CN"/>
        </w:rPr>
        <w:t xml:space="preserve"> о проведении предварительного квалификационного отбора изучен в полном объеме и признан полным и достаточным для подготовки настоящей заявки.</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2"/>
          <w:szCs w:val="22"/>
          <w:lang w:eastAsia="zh-CN"/>
        </w:rPr>
      </w:pPr>
      <w:r>
        <w:rPr>
          <w:rFonts w:eastAsia="Calibri"/>
          <w:sz w:val="22"/>
          <w:szCs w:val="22"/>
          <w:lang w:eastAsia="zh-CN"/>
        </w:rPr>
        <w:t>К настоящей заявке прилагаются документы, согласно описи Приложения на _____л.</w:t>
      </w:r>
    </w:p>
    <w:p>
      <w:pPr>
        <w:widowControl w:val="0"/>
        <w:pBdr>
          <w:top w:val="none" w:color="000000" w:sz="0" w:space="0"/>
          <w:left w:val="none" w:color="000000" w:sz="0" w:space="0"/>
          <w:bottom w:val="none" w:color="000000" w:sz="0" w:space="0"/>
          <w:right w:val="none" w:color="000000" w:sz="0" w:space="0"/>
        </w:pBdr>
        <w:tabs>
          <w:tab w:val="left" w:pos="993"/>
        </w:tabs>
        <w:suppressAutoHyphens/>
        <w:rPr>
          <w:rFonts w:eastAsia="Calibri"/>
          <w:i/>
          <w:sz w:val="22"/>
          <w:szCs w:val="22"/>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(должность представителя участника)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sectPr>
          <w:footerReference r:id="rId5" w:type="default"/>
          <w:pgSz w:w="11906" w:h="16838"/>
          <w:pgMar w:top="1134" w:right="850" w:bottom="1134" w:left="1701" w:header="708" w:footer="709" w:gutter="0"/>
          <w:cols w:space="0" w:num="1"/>
          <w:docGrid w:linePitch="360" w:charSpace="0"/>
        </w:sect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eastAsia="Arial Unicode MS"/>
          <w:b/>
          <w:color w:val="000000"/>
          <w:sz w:val="22"/>
          <w:szCs w:val="22"/>
          <w:lang w:eastAsia="zh-CN"/>
        </w:rPr>
        <w:t>6.3.  Форма «Опыт: аналогичные виды работ»</w:t>
      </w:r>
    </w:p>
    <w:p>
      <w:pPr>
        <w:widowControl w:val="0"/>
        <w:pBdr>
          <w:top w:val="none" w:color="000000" w:sz="0" w:space="0"/>
          <w:left w:val="none" w:color="000000" w:sz="0" w:space="0"/>
          <w:bottom w:val="none" w:color="000000" w:sz="0" w:space="0"/>
          <w:right w:val="none" w:color="000000" w:sz="0" w:space="0"/>
        </w:pBdr>
        <w:tabs>
          <w:tab w:val="left" w:pos="426"/>
        </w:tabs>
        <w:suppressAutoHyphens/>
        <w:autoSpaceDE w:val="0"/>
        <w:autoSpaceDN w:val="0"/>
        <w:adjustRightInd w:val="0"/>
        <w:rPr>
          <w:rFonts w:eastAsia="Arial Unicode MS"/>
          <w:color w:val="000000"/>
          <w:sz w:val="22"/>
          <w:szCs w:val="22"/>
          <w:lang w:eastAsia="zh-CN"/>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3277"/>
        <w:gridCol w:w="2919"/>
        <w:gridCol w:w="2919"/>
        <w:gridCol w:w="2144"/>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27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val="en-US" w:eastAsia="zh-CN"/>
              </w:rPr>
            </w:pPr>
            <w:r>
              <w:rPr>
                <w:rFonts w:eastAsia="Arial Unicode MS"/>
                <w:b/>
                <w:sz w:val="22"/>
                <w:szCs w:val="22"/>
                <w:lang w:val="en-US" w:eastAsia="zh-CN"/>
              </w:rPr>
              <w:t>№ п/п</w:t>
            </w:r>
          </w:p>
        </w:tc>
        <w:tc>
          <w:tcPr>
            <w:tcW w:w="1108"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Номер, дата и</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предмет договора</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tc>
        <w:tc>
          <w:tcPr>
            <w:tcW w:w="987" w:type="pct"/>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Объем и состав выполненных работ</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tc>
        <w:tc>
          <w:tcPr>
            <w:tcW w:w="98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Заказчик</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(наименование организации, телефон, Ф.И.О. контактного лица)</w:t>
            </w:r>
          </w:p>
        </w:tc>
        <w:tc>
          <w:tcPr>
            <w:tcW w:w="725"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Регион</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выполнения работ (оказания услуг)</w:t>
            </w:r>
          </w:p>
        </w:tc>
        <w:tc>
          <w:tcPr>
            <w:tcW w:w="92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Стоимость</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выполненных работ,</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руб. включая НДС</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7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1</w:t>
            </w:r>
          </w:p>
        </w:tc>
        <w:tc>
          <w:tcPr>
            <w:tcW w:w="1108"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87"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87"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725"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2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7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eastAsia="zh-CN"/>
              </w:rPr>
            </w:pPr>
            <w:r>
              <w:rPr>
                <w:rFonts w:eastAsia="Arial Unicode MS"/>
                <w:sz w:val="22"/>
                <w:szCs w:val="22"/>
                <w:u w:color="FF0000"/>
                <w:lang w:eastAsia="zh-CN"/>
              </w:rPr>
              <w:t>2</w:t>
            </w:r>
          </w:p>
        </w:tc>
        <w:tc>
          <w:tcPr>
            <w:tcW w:w="1108"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87"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87"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725"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2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7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eastAsia="zh-CN"/>
              </w:rPr>
            </w:pPr>
            <w:r>
              <w:rPr>
                <w:rFonts w:eastAsia="Arial Unicode MS"/>
                <w:sz w:val="22"/>
                <w:szCs w:val="22"/>
                <w:u w:color="FF0000"/>
                <w:lang w:eastAsia="zh-CN"/>
              </w:rPr>
              <w:t>3</w:t>
            </w:r>
          </w:p>
        </w:tc>
        <w:tc>
          <w:tcPr>
            <w:tcW w:w="1108"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87"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87"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725"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2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27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w:t>
            </w:r>
          </w:p>
        </w:tc>
        <w:tc>
          <w:tcPr>
            <w:tcW w:w="1108"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87"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87"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725"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2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080" w:type="pct"/>
            <w:gridSpan w:val="5"/>
          </w:tcPr>
          <w:p>
            <w:pPr>
              <w:widowControl w:val="0"/>
              <w:pBdr>
                <w:top w:val="none" w:color="000000" w:sz="0" w:space="0"/>
                <w:left w:val="none" w:color="000000" w:sz="0" w:space="0"/>
                <w:bottom w:val="none" w:color="000000" w:sz="0" w:space="0"/>
                <w:right w:val="none" w:color="000000" w:sz="0" w:space="0"/>
              </w:pBdr>
              <w:suppressAutoHyphens/>
              <w:rPr>
                <w:rFonts w:eastAsia="Arial Unicode MS"/>
                <w:b/>
                <w:bCs/>
                <w:sz w:val="22"/>
                <w:szCs w:val="22"/>
                <w:u w:color="FF0000"/>
                <w:lang w:eastAsia="zh-CN"/>
              </w:rPr>
            </w:pPr>
            <w:r>
              <w:rPr>
                <w:rFonts w:eastAsia="Arial Unicode MS"/>
                <w:b/>
                <w:bCs/>
                <w:sz w:val="22"/>
                <w:szCs w:val="22"/>
                <w:u w:color="FF0000"/>
                <w:lang w:eastAsia="zh-CN"/>
              </w:rPr>
              <w:t>Итого:</w:t>
            </w:r>
          </w:p>
        </w:tc>
        <w:tc>
          <w:tcPr>
            <w:tcW w:w="92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bCs/>
                <w:sz w:val="22"/>
                <w:szCs w:val="22"/>
                <w:u w:color="FF0000"/>
                <w:lang w:val="en-US" w:eastAsia="zh-CN"/>
              </w:rPr>
            </w:pPr>
          </w:p>
        </w:tc>
      </w:tr>
    </w:tbl>
    <w:p>
      <w:pPr>
        <w:pBdr>
          <w:top w:val="none" w:color="000000" w:sz="0" w:space="0"/>
          <w:left w:val="none" w:color="000000" w:sz="0" w:space="0"/>
          <w:bottom w:val="none" w:color="000000" w:sz="0" w:space="0"/>
          <w:right w:val="none" w:color="000000" w:sz="0" w:space="0"/>
        </w:pBdr>
        <w:tabs>
          <w:tab w:val="left" w:pos="1202"/>
          <w:tab w:val="left" w:pos="1985"/>
        </w:tabs>
        <w:suppressAutoHyphens/>
        <w:rPr>
          <w:rFonts w:eastAsia="Arial Unicode MS"/>
          <w:b/>
          <w:sz w:val="22"/>
          <w:szCs w:val="22"/>
          <w:lang w:val="en-US"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000000" w:themeColor="text1"/>
          <w:sz w:val="22"/>
          <w:szCs w:val="22"/>
          <w:lang w:eastAsia="en-US"/>
          <w14:textFill>
            <w14:solidFill>
              <w14:schemeClr w14:val="tx1"/>
            </w14:solidFill>
          </w14:textFill>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b/>
          <w:i/>
          <w:color w:val="000000" w:themeColor="text1"/>
          <w:sz w:val="22"/>
          <w:szCs w:val="22"/>
          <w:lang w:val="en-US" w:eastAsia="en-US"/>
          <w14:textFill>
            <w14:solidFill>
              <w14:schemeClr w14:val="tx1"/>
            </w14:solidFill>
          </w14:textFill>
        </w:rPr>
      </w:pPr>
      <w:bookmarkStart w:id="146" w:name="_Hlk87994859"/>
      <w:r>
        <w:rPr>
          <w:rFonts w:eastAsia="Arial Unicode MS"/>
          <w:b/>
          <w:i/>
          <w:color w:val="000000" w:themeColor="text1"/>
          <w:sz w:val="22"/>
          <w:szCs w:val="22"/>
          <w:lang w:eastAsia="en-US"/>
          <w14:textFill>
            <w14:solidFill>
              <w14:schemeClr w14:val="tx1"/>
            </w14:solidFill>
          </w14:textFill>
        </w:rPr>
        <w:t>Примечание</w:t>
      </w:r>
      <w:r>
        <w:rPr>
          <w:rFonts w:eastAsia="Arial Unicode MS"/>
          <w:b/>
          <w:i/>
          <w:color w:val="000000" w:themeColor="text1"/>
          <w:sz w:val="22"/>
          <w:szCs w:val="22"/>
          <w:lang w:val="en-US" w:eastAsia="en-US"/>
          <w14:textFill>
            <w14:solidFill>
              <w14:schemeClr w14:val="tx1"/>
            </w14:solidFill>
          </w14:textFill>
        </w:rPr>
        <w:t>:</w:t>
      </w:r>
    </w:p>
    <w:bookmarkEnd w:id="146"/>
    <w:p>
      <w:pPr>
        <w:keepNext/>
        <w:keepLines/>
        <w:pBdr>
          <w:top w:val="none" w:color="000000" w:sz="0" w:space="0"/>
          <w:left w:val="none" w:color="000000" w:sz="0" w:space="0"/>
          <w:bottom w:val="none" w:color="000000" w:sz="0" w:space="0"/>
          <w:right w:val="none" w:color="000000" w:sz="0" w:space="0"/>
        </w:pBdr>
        <w:suppressAutoHyphens/>
        <w:jc w:val="both"/>
        <w:rPr>
          <w:rFonts w:hint="default" w:eastAsia="Arial Unicode MS"/>
          <w:i/>
          <w:sz w:val="22"/>
          <w:szCs w:val="22"/>
          <w:lang w:val="ru-RU" w:eastAsia="en-US"/>
        </w:rPr>
      </w:pPr>
      <w:r>
        <w:rPr>
          <w:rFonts w:eastAsia="Arial Unicode MS"/>
          <w:i/>
          <w:sz w:val="22"/>
          <w:szCs w:val="22"/>
          <w:lang w:eastAsia="en-US"/>
        </w:rPr>
        <w:t>Сведения об опыте выполнения аналогичных работ указываются за последние 5 (пять) лет</w:t>
      </w:r>
      <w:r>
        <w:rPr>
          <w:rFonts w:hint="default" w:eastAsia="Arial Unicode MS"/>
          <w:i/>
          <w:sz w:val="22"/>
          <w:szCs w:val="22"/>
          <w:lang w:val="ru-RU" w:eastAsia="en-US"/>
        </w:rPr>
        <w:t>;</w:t>
      </w:r>
    </w:p>
    <w:p>
      <w:pPr>
        <w:keepNext/>
        <w:keepLines/>
        <w:pBdr>
          <w:top w:val="none" w:color="000000" w:sz="0" w:space="0"/>
          <w:left w:val="none" w:color="000000" w:sz="0" w:space="0"/>
          <w:bottom w:val="none" w:color="000000" w:sz="0" w:space="0"/>
          <w:right w:val="none" w:color="000000" w:sz="0" w:space="0"/>
        </w:pBdr>
        <w:suppressAutoHyphens/>
        <w:jc w:val="both"/>
        <w:rPr>
          <w:rFonts w:hint="default" w:eastAsia="Arial Unicode MS"/>
          <w:bCs/>
          <w:sz w:val="22"/>
          <w:szCs w:val="22"/>
          <w:lang w:val="ru-RU" w:eastAsia="zh-CN"/>
        </w:rPr>
      </w:pPr>
      <w:r>
        <w:rPr>
          <w:rFonts w:eastAsia="Arial Unicode MS"/>
          <w:i/>
          <w:sz w:val="22"/>
          <w:szCs w:val="22"/>
          <w:lang w:eastAsia="en-US"/>
        </w:rPr>
        <w:t>В случае подачи заявки Коллективным участником, сведения об опыте выполнения аналогичных работ указываются по каждому члену Коллективного участника</w:t>
      </w:r>
      <w:r>
        <w:rPr>
          <w:rFonts w:hint="default" w:eastAsia="Arial Unicode MS"/>
          <w:i/>
          <w:sz w:val="22"/>
          <w:szCs w:val="22"/>
          <w:lang w:val="ru-RU" w:eastAsia="en-US"/>
        </w:rPr>
        <w:t>.</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tabs>
          <w:tab w:val="left" w:pos="2429"/>
        </w:tabs>
        <w:suppressAutoHyphens/>
        <w:rPr>
          <w:rFonts w:eastAsia="Arial Unicode MS"/>
          <w:b/>
          <w:i/>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bookmarkEnd w:id="2"/>
    <w:p>
      <w:pPr>
        <w:jc w:val="both"/>
        <w:rPr>
          <w:rFonts w:eastAsia="Arial Unicode MS"/>
          <w:i/>
          <w:sz w:val="22"/>
          <w:szCs w:val="22"/>
          <w:lang w:eastAsia="en-US"/>
        </w:rPr>
      </w:pPr>
    </w:p>
    <w:sectPr>
      <w:pgSz w:w="16838" w:h="11906" w:orient="landscape"/>
      <w:pgMar w:top="1701" w:right="1134" w:bottom="851" w:left="1134" w:header="709" w:footer="709"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Gelvetsky 12pt">
    <w:altName w:val="Segoe Print"/>
    <w:panose1 w:val="00000000000000000000"/>
    <w:charset w:val="CC"/>
    <w:family w:val="roman"/>
    <w:pitch w:val="default"/>
    <w:sig w:usb0="00000000" w:usb1="00000000" w:usb2="00000000" w:usb3="00000000" w:csb0="00000000" w:csb1="00000000"/>
  </w:font>
  <w:font w:name="Arial Unicode MS">
    <w:altName w:val="Yu Gothic"/>
    <w:panose1 w:val="020B0604020202020204"/>
    <w:charset w:val="80"/>
    <w:family w:val="swiss"/>
    <w:pitch w:val="default"/>
    <w:sig w:usb0="00000000" w:usb1="00000000" w:usb2="0000003F" w:usb3="00000000" w:csb0="003F01FF" w:csb1="00000000"/>
  </w:font>
  <w:font w:name="Arial">
    <w:panose1 w:val="020B0604020202020204"/>
    <w:charset w:val="CC"/>
    <w:family w:val="swiss"/>
    <w:pitch w:val="default"/>
    <w:sig w:usb0="E0002EFF" w:usb1="C000785B" w:usb2="00000009" w:usb3="00000000" w:csb0="400001FF" w:csb1="FFFF0000"/>
  </w:font>
  <w:font w:name="Consultant">
    <w:altName w:val="Arial"/>
    <w:panose1 w:val="00000000000000000000"/>
    <w:charset w:val="CC"/>
    <w:family w:val="modern"/>
    <w:pitch w:val="default"/>
    <w:sig w:usb0="00000000" w:usb1="00000000" w:usb2="00000000" w:usb3="00000000" w:csb0="00000000" w:csb1="0000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SchoolBookC">
    <w:altName w:val="Courier New"/>
    <w:panose1 w:val="00000000000000000000"/>
    <w:charset w:val="00"/>
    <w:family w:val="decorative"/>
    <w:pitch w:val="default"/>
    <w:sig w:usb0="00000000" w:usb1="00000000" w:usb2="00000000" w:usb3="00000000" w:csb0="00000005" w:csb1="00000000"/>
  </w:font>
  <w:font w:name="AvantGardeGothicC">
    <w:altName w:val="Segoe Print"/>
    <w:panose1 w:val="00000000000000000000"/>
    <w:charset w:val="CC"/>
    <w:family w:val="decorative"/>
    <w:pitch w:val="default"/>
    <w:sig w:usb0="00000000" w:usb1="00000000" w:usb2="00000000" w:usb3="00000000" w:csb0="00000004" w:csb1="00000000"/>
  </w:font>
  <w:font w:name="NTHelvetica/Cyrillic">
    <w:altName w:val="Times New Roman"/>
    <w:panose1 w:val="00000000000000000000"/>
    <w:charset w:val="00"/>
    <w:family w:val="auto"/>
    <w:pitch w:val="default"/>
    <w:sig w:usb0="00000000" w:usb1="00000000" w:usb2="00000000" w:usb3="00000000" w:csb0="00000001" w:csb1="00000000"/>
  </w:font>
  <w:font w:name="TimesDL">
    <w:altName w:val="Times New Roman"/>
    <w:panose1 w:val="00000000000000000000"/>
    <w:charset w:val="00"/>
    <w:family w:val="roman"/>
    <w:pitch w:val="default"/>
    <w:sig w:usb0="00000000" w:usb1="00000000" w:usb2="00000000" w:usb3="00000000" w:csb0="00000001" w:csb1="00000000"/>
  </w:font>
  <w:font w:name="GaramondC">
    <w:altName w:val="Courier New"/>
    <w:panose1 w:val="00000000000000000000"/>
    <w:charset w:val="00"/>
    <w:family w:val="roman"/>
    <w:pitch w:val="default"/>
    <w:sig w:usb0="00000000" w:usb1="00000000" w:usb2="00000000" w:usb3="00000000" w:csb0="00000000" w:csb1="00000000"/>
  </w:font>
  <w:font w:name="StarSymbol">
    <w:altName w:val="Yu Gothic"/>
    <w:panose1 w:val="00000000000000000000"/>
    <w:charset w:val="80"/>
    <w:family w:val="auto"/>
    <w:pitch w:val="default"/>
    <w:sig w:usb0="00000000" w:usb1="00000000" w:usb2="00000000" w:usb3="00000000" w:csb0="00000000" w:csb1="00000000"/>
  </w:font>
  <w:font w:name="Albany AMT">
    <w:altName w:val="Arial"/>
    <w:panose1 w:val="00000000000000000000"/>
    <w:charset w:val="CC"/>
    <w:family w:val="swiss"/>
    <w:pitch w:val="default"/>
    <w:sig w:usb0="00000000" w:usb1="00000000" w:usb2="00000000" w:usb3="00000000" w:csb0="00000000" w:csb1="00000000"/>
  </w:font>
  <w:font w:name="Andale Sans UI">
    <w:altName w:val="Arial"/>
    <w:panose1 w:val="00000000000000000000"/>
    <w:charset w:val="00"/>
    <w:family w:val="auto"/>
    <w:pitch w:val="default"/>
    <w:sig w:usb0="00000000" w:usb1="00000000" w:usb2="00000000" w:usb3="00000000" w:csb0="00000000" w:csb1="00000000"/>
  </w:font>
  <w:font w:name="Lucidasans">
    <w:altName w:val="Arial"/>
    <w:panose1 w:val="00000000000000000000"/>
    <w:charset w:val="00"/>
    <w:family w:val="swiss"/>
    <w:pitch w:val="default"/>
    <w:sig w:usb0="00000000" w:usb1="00000000" w:usb2="00000000" w:usb3="00000000" w:csb0="00000001" w:csb1="00000000"/>
  </w:font>
  <w:font w:name="NTTierce">
    <w:altName w:val="Times New Roman"/>
    <w:panose1 w:val="00000000000000000000"/>
    <w:charset w:val="00"/>
    <w:family w:val="auto"/>
    <w:pitch w:val="default"/>
    <w:sig w:usb0="00000000" w:usb1="00000000" w:usb2="00000000" w:usb3="00000000" w:csb0="00000001" w:csb1="00000000"/>
  </w:font>
  <w:font w:name="Arial Rounded MT Bold">
    <w:panose1 w:val="020F0704030504030204"/>
    <w:charset w:val="00"/>
    <w:family w:val="swiss"/>
    <w:pitch w:val="default"/>
    <w:sig w:usb0="00000003" w:usb1="00000000" w:usb2="00000000" w:usb3="00000000" w:csb0="20000001" w:csb1="00000000"/>
  </w:font>
  <w:font w:name="PMingLiU">
    <w:altName w:val="Microsoft JhengHei UI"/>
    <w:panose1 w:val="02010601000101010101"/>
    <w:charset w:val="88"/>
    <w:family w:val="roman"/>
    <w:pitch w:val="default"/>
    <w:sig w:usb0="00000000" w:usb1="00000000" w:usb2="00000016" w:usb3="00000000" w:csb0="00100001" w:csb1="00000000"/>
  </w:font>
  <w:font w:name="Cordia New">
    <w:altName w:val="Microsoft Sans Serif"/>
    <w:panose1 w:val="020B0304020202020204"/>
    <w:charset w:val="DE"/>
    <w:family w:val="swiss"/>
    <w:pitch w:val="default"/>
    <w:sig w:usb0="00000000" w:usb1="00000000" w:usb2="00000000" w:usb3="00000000" w:csb0="00010001" w:csb1="00000000"/>
  </w:font>
  <w:font w:name="GaramondNarrowC">
    <w:altName w:val="Courier New"/>
    <w:panose1 w:val="00000000000000000000"/>
    <w:charset w:val="00"/>
    <w:family w:val="decorative"/>
    <w:pitch w:val="default"/>
    <w:sig w:usb0="00000000" w:usb1="00000000" w:usb2="00000000" w:usb3="00000000" w:csb0="00000005" w:csb1="00000000"/>
  </w:font>
  <w:font w:name="Ubuntu">
    <w:panose1 w:val="020B0504030602030204"/>
    <w:charset w:val="CC"/>
    <w:family w:val="swiss"/>
    <w:pitch w:val="default"/>
    <w:sig w:usb0="E00002FF" w:usb1="5000205B" w:usb2="00000000" w:usb3="00000000" w:csb0="2000009F" w:csb1="56010000"/>
  </w:font>
  <w:font w:name="TimesNewRomanPS-BoldMT">
    <w:altName w:val="Segoe Print"/>
    <w:panose1 w:val="00000000000000000000"/>
    <w:charset w:val="00"/>
    <w:family w:val="auto"/>
    <w:pitch w:val="default"/>
    <w:sig w:usb0="00000000" w:usb1="00000000" w:usb2="00000000" w:usb3="00000000" w:csb0="00040001" w:csb1="00000000"/>
  </w:font>
  <w:font w:name="Calibri Light">
    <w:panose1 w:val="020F0302020204030204"/>
    <w:charset w:val="00"/>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7285567"/>
    </w:sdtPr>
    <w:sdtContent>
      <w:p>
        <w:pPr>
          <w:pStyle w:val="42"/>
          <w:jc w:val="right"/>
        </w:pPr>
        <w:r>
          <w:rPr>
            <w:sz w:val="22"/>
            <w:szCs w:val="22"/>
          </w:rPr>
          <w:fldChar w:fldCharType="begin"/>
        </w:r>
        <w:r>
          <w:rPr>
            <w:sz w:val="22"/>
            <w:szCs w:val="22"/>
          </w:rPr>
          <w:instrText xml:space="preserve">PAGE   \* MERGEFORMAT</w:instrText>
        </w:r>
        <w:r>
          <w:rPr>
            <w:sz w:val="22"/>
            <w:szCs w:val="22"/>
          </w:rPr>
          <w:fldChar w:fldCharType="separate"/>
        </w:r>
        <w:r>
          <w:rPr>
            <w:sz w:val="22"/>
            <w:szCs w:val="22"/>
          </w:rPr>
          <w:t>18</w:t>
        </w:r>
        <w:r>
          <w:rPr>
            <w:sz w:val="22"/>
            <w:szCs w:val="22"/>
          </w:rPr>
          <w:fldChar w:fldCharType="end"/>
        </w:r>
      </w:p>
    </w:sdtContent>
  </w:sdt>
  <w:p>
    <w:pPr>
      <w:pStyle w:val="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7730934"/>
    </w:sdtPr>
    <w:sdtContent>
      <w:p>
        <w:pPr>
          <w:pStyle w:val="42"/>
          <w:jc w:val="right"/>
        </w:pPr>
        <w:r>
          <w:rPr>
            <w:sz w:val="22"/>
            <w:szCs w:val="22"/>
          </w:rPr>
          <w:fldChar w:fldCharType="begin"/>
        </w:r>
        <w:r>
          <w:rPr>
            <w:sz w:val="22"/>
            <w:szCs w:val="22"/>
          </w:rPr>
          <w:instrText xml:space="preserve">PAGE   \* MERGEFORMAT</w:instrText>
        </w:r>
        <w:r>
          <w:rPr>
            <w:sz w:val="22"/>
            <w:szCs w:val="22"/>
          </w:rPr>
          <w:fldChar w:fldCharType="separate"/>
        </w:r>
        <w:r>
          <w:rPr>
            <w:sz w:val="22"/>
            <w:szCs w:val="22"/>
          </w:rPr>
          <w:t>33</w:t>
        </w:r>
        <w:r>
          <w:rPr>
            <w:sz w:val="22"/>
            <w:szCs w:val="22"/>
          </w:rPr>
          <w:fldChar w:fldCharType="end"/>
        </w:r>
      </w:p>
    </w:sdtContent>
  </w:sdt>
  <w:p>
    <w:pPr>
      <w:pStyle w:val="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1"/>
        <w:rPr>
          <w:rFonts w:ascii="Times New Roman" w:hAnsi="Times New Roman"/>
          <w:sz w:val="20"/>
          <w:lang w:val="ru-RU"/>
        </w:rPr>
      </w:pPr>
      <w:r>
        <w:rPr>
          <w:rStyle w:val="14"/>
          <w:rFonts w:ascii="Times New Roman" w:hAnsi="Times New Roman"/>
          <w:sz w:val="20"/>
        </w:rPr>
        <w:footnoteRef/>
      </w:r>
      <w:r>
        <w:rPr>
          <w:rFonts w:ascii="Times New Roman" w:hAnsi="Times New Roman"/>
          <w:sz w:val="20"/>
          <w:lang w:val="ru-RU"/>
        </w:rPr>
        <w:t xml:space="preserve"> В случае проведения Отбора с использованием ЭТП данное требование распространяется также на лицо, подписывающее заявку электронной подписью на ЭТП.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EAC946"/>
    <w:multiLevelType w:val="singleLevel"/>
    <w:tmpl w:val="99EAC946"/>
    <w:lvl w:ilvl="0" w:tentative="0">
      <w:start w:val="1"/>
      <w:numFmt w:val="bullet"/>
      <w:lvlText w:val="−"/>
      <w:lvlJc w:val="left"/>
      <w:pPr>
        <w:tabs>
          <w:tab w:val="left" w:pos="420"/>
        </w:tabs>
        <w:ind w:left="420" w:hanging="420"/>
      </w:pPr>
      <w:rPr>
        <w:rFonts w:hint="default" w:ascii="Arial" w:hAnsi="Arial" w:cs="Arial"/>
      </w:rPr>
    </w:lvl>
  </w:abstractNum>
  <w:abstractNum w:abstractNumId="1">
    <w:nsid w:val="A1B83503"/>
    <w:multiLevelType w:val="singleLevel"/>
    <w:tmpl w:val="A1B83503"/>
    <w:lvl w:ilvl="0" w:tentative="0">
      <w:start w:val="1"/>
      <w:numFmt w:val="bullet"/>
      <w:lvlText w:val="−"/>
      <w:lvlJc w:val="left"/>
      <w:pPr>
        <w:tabs>
          <w:tab w:val="left" w:pos="420"/>
        </w:tabs>
        <w:ind w:left="420" w:hanging="420"/>
      </w:pPr>
      <w:rPr>
        <w:rFonts w:hint="default" w:ascii="Arial" w:hAnsi="Arial" w:cs="Arial"/>
      </w:rPr>
    </w:lvl>
  </w:abstractNum>
  <w:abstractNum w:abstractNumId="2">
    <w:nsid w:val="B33A7F03"/>
    <w:multiLevelType w:val="singleLevel"/>
    <w:tmpl w:val="B33A7F03"/>
    <w:lvl w:ilvl="0" w:tentative="0">
      <w:start w:val="5"/>
      <w:numFmt w:val="upperLetter"/>
      <w:suff w:val="nothing"/>
      <w:lvlText w:val="%1-"/>
      <w:lvlJc w:val="left"/>
    </w:lvl>
  </w:abstractNum>
  <w:abstractNum w:abstractNumId="3">
    <w:nsid w:val="B663C6F5"/>
    <w:multiLevelType w:val="singleLevel"/>
    <w:tmpl w:val="B663C6F5"/>
    <w:lvl w:ilvl="0" w:tentative="0">
      <w:start w:val="1"/>
      <w:numFmt w:val="decimal"/>
      <w:lvlText w:val="%1."/>
      <w:lvlJc w:val="left"/>
      <w:pPr>
        <w:tabs>
          <w:tab w:val="left" w:pos="425"/>
        </w:tabs>
        <w:ind w:left="425" w:hanging="425"/>
      </w:pPr>
      <w:rPr>
        <w:rFonts w:hint="default"/>
      </w:rPr>
    </w:lvl>
  </w:abstractNum>
  <w:abstractNum w:abstractNumId="4">
    <w:nsid w:val="DFE16196"/>
    <w:multiLevelType w:val="singleLevel"/>
    <w:tmpl w:val="DFE16196"/>
    <w:lvl w:ilvl="0" w:tentative="0">
      <w:start w:val="1"/>
      <w:numFmt w:val="bullet"/>
      <w:lvlText w:val="−"/>
      <w:lvlJc w:val="left"/>
      <w:pPr>
        <w:tabs>
          <w:tab w:val="left" w:pos="420"/>
        </w:tabs>
        <w:ind w:left="420" w:hanging="420"/>
      </w:pPr>
      <w:rPr>
        <w:rFonts w:hint="default" w:ascii="Arial" w:hAnsi="Arial" w:cs="Arial"/>
      </w:rPr>
    </w:lvl>
  </w:abstractNum>
  <w:abstractNum w:abstractNumId="5">
    <w:nsid w:val="FBB6D741"/>
    <w:multiLevelType w:val="multilevel"/>
    <w:tmpl w:val="FBB6D741"/>
    <w:lvl w:ilvl="0" w:tentative="0">
      <w:start w:val="1"/>
      <w:numFmt w:val="decimal"/>
      <w:lvlText w:val="%1."/>
      <w:lvlJc w:val="left"/>
      <w:pPr>
        <w:tabs>
          <w:tab w:val="left" w:pos="425"/>
        </w:tabs>
        <w:ind w:left="425" w:hanging="425"/>
      </w:pPr>
      <w:rPr>
        <w:rFonts w:hint="default" w:ascii="Times New Roman" w:hAnsi="Times New Roman" w:eastAsia="SimSun" w:cs="Times New Roman"/>
        <w:sz w:val="24"/>
        <w:szCs w:val="24"/>
      </w:rPr>
    </w:lvl>
    <w:lvl w:ilvl="1" w:tentative="0">
      <w:start w:val="1"/>
      <w:numFmt w:val="decimal"/>
      <w:lvlText w:val="%1.%2."/>
      <w:lvlJc w:val="left"/>
      <w:pPr>
        <w:tabs>
          <w:tab w:val="left" w:pos="567"/>
        </w:tabs>
        <w:ind w:left="567" w:hanging="567"/>
      </w:pPr>
      <w:rPr>
        <w:rFonts w:hint="default" w:ascii="Times New Roman" w:hAnsi="Times New Roman" w:eastAsia="SimSun" w:cs="Times New Roman"/>
        <w:b/>
        <w:bCs/>
        <w:sz w:val="24"/>
        <w:szCs w:val="24"/>
      </w:rPr>
    </w:lvl>
    <w:lvl w:ilvl="2" w:tentative="0">
      <w:start w:val="1"/>
      <w:numFmt w:val="decimal"/>
      <w:lvlText w:val="%1.%2.%3."/>
      <w:lvlJc w:val="left"/>
      <w:pPr>
        <w:tabs>
          <w:tab w:val="left" w:pos="709"/>
        </w:tabs>
        <w:ind w:left="709" w:hanging="709"/>
      </w:pPr>
      <w:rPr>
        <w:rFonts w:hint="default" w:ascii="Times New Roman" w:hAnsi="Times New Roman" w:eastAsia="SimSun" w:cs="Times New Roman"/>
        <w:b w:val="0"/>
        <w:bCs w:val="0"/>
        <w:sz w:val="24"/>
        <w:szCs w:val="24"/>
      </w:rPr>
    </w:lvl>
    <w:lvl w:ilvl="3" w:tentative="0">
      <w:start w:val="1"/>
      <w:numFmt w:val="decimal"/>
      <w:lvlText w:val="%1.%2.%3.%4."/>
      <w:lvlJc w:val="left"/>
      <w:pPr>
        <w:tabs>
          <w:tab w:val="left" w:pos="850"/>
        </w:tabs>
        <w:ind w:left="850" w:hanging="850"/>
      </w:pPr>
      <w:rPr>
        <w:rFonts w:hint="default" w:ascii="Times New Roman" w:hAnsi="Times New Roman" w:eastAsia="SimSun" w:cs="Times New Roman"/>
        <w:b w:val="0"/>
        <w:bCs w:val="0"/>
        <w:sz w:val="24"/>
        <w:szCs w:val="24"/>
      </w:rPr>
    </w:lvl>
    <w:lvl w:ilvl="4" w:tentative="0">
      <w:start w:val="1"/>
      <w:numFmt w:val="upperRoman"/>
      <w:lvlText w:val="%1.%2.%3.%4.%5."/>
      <w:lvlJc w:val="left"/>
      <w:pPr>
        <w:tabs>
          <w:tab w:val="left" w:pos="991"/>
        </w:tabs>
        <w:ind w:left="991" w:hanging="991"/>
      </w:pPr>
      <w:rPr>
        <w:rFonts w:hint="default"/>
      </w:rPr>
    </w:lvl>
    <w:lvl w:ilvl="5" w:tentative="0">
      <w:start w:val="1"/>
      <w:numFmt w:val="upperRoman"/>
      <w:lvlText w:val="%1.%2.%3.%4.%5.%6."/>
      <w:lvlJc w:val="left"/>
      <w:pPr>
        <w:tabs>
          <w:tab w:val="left" w:pos="1134"/>
        </w:tabs>
        <w:ind w:left="1134" w:hanging="1134"/>
      </w:pPr>
      <w:rPr>
        <w:rFonts w:hint="default"/>
      </w:rPr>
    </w:lvl>
    <w:lvl w:ilvl="6" w:tentative="0">
      <w:start w:val="1"/>
      <w:numFmt w:val="upperRoman"/>
      <w:lvlText w:val="%1.%2.%3.%4.%5.%6.%7."/>
      <w:lvlJc w:val="left"/>
      <w:pPr>
        <w:tabs>
          <w:tab w:val="left" w:pos="1275"/>
        </w:tabs>
        <w:ind w:left="1275" w:hanging="1275"/>
      </w:pPr>
      <w:rPr>
        <w:rFonts w:hint="default"/>
      </w:rPr>
    </w:lvl>
    <w:lvl w:ilvl="7" w:tentative="0">
      <w:start w:val="1"/>
      <w:numFmt w:val="upperRoman"/>
      <w:lvlText w:val="%1.%2.%3.%4.%5.%6.%7.%8."/>
      <w:lvlJc w:val="left"/>
      <w:pPr>
        <w:tabs>
          <w:tab w:val="left" w:pos="1418"/>
        </w:tabs>
        <w:ind w:left="1418" w:hanging="1418"/>
      </w:pPr>
      <w:rPr>
        <w:rFonts w:hint="default"/>
      </w:rPr>
    </w:lvl>
    <w:lvl w:ilvl="8" w:tentative="0">
      <w:start w:val="1"/>
      <w:numFmt w:val="upperRoman"/>
      <w:lvlText w:val="%1.%2.%3.%4.%5.%6.%7.%8.%9."/>
      <w:lvlJc w:val="left"/>
      <w:pPr>
        <w:tabs>
          <w:tab w:val="left" w:pos="1558"/>
        </w:tabs>
        <w:ind w:left="1558" w:hanging="1558"/>
      </w:pPr>
      <w:rPr>
        <w:rFonts w:hint="default"/>
      </w:rPr>
    </w:lvl>
  </w:abstractNum>
  <w:abstractNum w:abstractNumId="6">
    <w:nsid w:val="080145A8"/>
    <w:multiLevelType w:val="multilevel"/>
    <w:tmpl w:val="080145A8"/>
    <w:lvl w:ilvl="0" w:tentative="0">
      <w:start w:val="1"/>
      <w:numFmt w:val="bullet"/>
      <w:pStyle w:val="297"/>
      <w:lvlText w:val=""/>
      <w:lvlJc w:val="left"/>
      <w:pPr>
        <w:ind w:left="1429" w:hanging="360"/>
      </w:pPr>
      <w:rPr>
        <w:rFonts w:hint="default" w:ascii="Symbol" w:hAnsi="Symbol"/>
        <w:sz w:val="24"/>
        <w:szCs w:val="24"/>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7">
    <w:nsid w:val="0BC24A4D"/>
    <w:multiLevelType w:val="multilevel"/>
    <w:tmpl w:val="0BC24A4D"/>
    <w:lvl w:ilvl="0" w:tentative="0">
      <w:start w:val="1"/>
      <w:numFmt w:val="decimal"/>
      <w:pStyle w:val="95"/>
      <w:lvlText w:val="%1."/>
      <w:lvlJc w:val="left"/>
      <w:pPr>
        <w:tabs>
          <w:tab w:val="left" w:pos="0"/>
        </w:tabs>
        <w:ind w:left="0" w:firstLine="0"/>
      </w:pPr>
      <w:rPr>
        <w:rFonts w:hint="default"/>
      </w:rPr>
    </w:lvl>
    <w:lvl w:ilvl="1" w:tentative="0">
      <w:start w:val="1"/>
      <w:numFmt w:val="decimal"/>
      <w:lvlText w:val="%1.%2."/>
      <w:lvlJc w:val="left"/>
      <w:pPr>
        <w:tabs>
          <w:tab w:val="left" w:pos="0"/>
        </w:tabs>
        <w:ind w:left="0" w:firstLine="0"/>
      </w:pPr>
      <w:rPr>
        <w:rFonts w:hint="default"/>
      </w:rPr>
    </w:lvl>
    <w:lvl w:ilvl="2" w:tentative="0">
      <w:start w:val="1"/>
      <w:numFmt w:val="decimal"/>
      <w:lvlText w:val="%1.%2.%3."/>
      <w:lvlJc w:val="left"/>
      <w:pPr>
        <w:tabs>
          <w:tab w:val="left" w:pos="0"/>
        </w:tabs>
        <w:ind w:left="0" w:firstLine="0"/>
      </w:pPr>
      <w:rPr>
        <w:rFonts w:hint="default"/>
      </w:rPr>
    </w:lvl>
    <w:lvl w:ilvl="3" w:tentative="0">
      <w:start w:val="1"/>
      <w:numFmt w:val="decimal"/>
      <w:lvlText w:val="%1.%2.%3.%4."/>
      <w:lvlJc w:val="left"/>
      <w:pPr>
        <w:tabs>
          <w:tab w:val="left" w:pos="0"/>
        </w:tabs>
        <w:ind w:left="0" w:firstLine="0"/>
      </w:pPr>
      <w:rPr>
        <w:rFonts w:hint="default"/>
      </w:rPr>
    </w:lvl>
    <w:lvl w:ilvl="4" w:tentative="0">
      <w:start w:val="1"/>
      <w:numFmt w:val="decimal"/>
      <w:lvlText w:val="%1.%2.%3.%4.%5."/>
      <w:lvlJc w:val="left"/>
      <w:pPr>
        <w:tabs>
          <w:tab w:val="left" w:pos="0"/>
        </w:tabs>
        <w:ind w:left="0" w:firstLine="0"/>
      </w:pPr>
      <w:rPr>
        <w:rFonts w:hint="default"/>
      </w:rPr>
    </w:lvl>
    <w:lvl w:ilvl="5" w:tentative="0">
      <w:start w:val="1"/>
      <w:numFmt w:val="decimal"/>
      <w:lvlText w:val="%1.%2.%3.%4.%5.%6."/>
      <w:lvlJc w:val="left"/>
      <w:pPr>
        <w:tabs>
          <w:tab w:val="left" w:pos="0"/>
        </w:tabs>
        <w:ind w:left="0" w:firstLine="0"/>
      </w:pPr>
      <w:rPr>
        <w:rFonts w:hint="default"/>
      </w:rPr>
    </w:lvl>
    <w:lvl w:ilvl="6" w:tentative="0">
      <w:start w:val="1"/>
      <w:numFmt w:val="decimal"/>
      <w:lvlText w:val="%1.%2.%3.%4.%5.%6.%7."/>
      <w:lvlJc w:val="left"/>
      <w:pPr>
        <w:tabs>
          <w:tab w:val="left" w:pos="0"/>
        </w:tabs>
        <w:ind w:left="0" w:firstLine="0"/>
      </w:pPr>
      <w:rPr>
        <w:rFonts w:hint="default"/>
      </w:rPr>
    </w:lvl>
    <w:lvl w:ilvl="7" w:tentative="0">
      <w:start w:val="1"/>
      <w:numFmt w:val="decimal"/>
      <w:lvlText w:val="%1.%2.%3.%4.%5.%6.%7.%8."/>
      <w:lvlJc w:val="left"/>
      <w:pPr>
        <w:tabs>
          <w:tab w:val="left" w:pos="0"/>
        </w:tabs>
        <w:ind w:left="0" w:firstLine="0"/>
      </w:pPr>
      <w:rPr>
        <w:rFonts w:hint="default"/>
      </w:rPr>
    </w:lvl>
    <w:lvl w:ilvl="8" w:tentative="0">
      <w:start w:val="1"/>
      <w:numFmt w:val="decimal"/>
      <w:lvlText w:val="%1.%2.%3.%4.%5.%6.%7.%8.%9."/>
      <w:lvlJc w:val="left"/>
      <w:pPr>
        <w:tabs>
          <w:tab w:val="left" w:pos="0"/>
        </w:tabs>
        <w:ind w:left="1800" w:hanging="1800"/>
      </w:pPr>
      <w:rPr>
        <w:rFonts w:hint="default"/>
      </w:rPr>
    </w:lvl>
  </w:abstractNum>
  <w:abstractNum w:abstractNumId="8">
    <w:nsid w:val="1FFD70EB"/>
    <w:multiLevelType w:val="multilevel"/>
    <w:tmpl w:val="1FFD70EB"/>
    <w:lvl w:ilvl="0" w:tentative="0">
      <w:start w:val="1"/>
      <w:numFmt w:val="decimal"/>
      <w:lvlText w:val="%1."/>
      <w:lvlJc w:val="left"/>
      <w:pPr>
        <w:ind w:left="1005" w:hanging="1005"/>
      </w:pPr>
      <w:rPr>
        <w:rFonts w:hint="default"/>
      </w:rPr>
    </w:lvl>
    <w:lvl w:ilvl="1" w:tentative="0">
      <w:start w:val="1"/>
      <w:numFmt w:val="decimal"/>
      <w:lvlText w:val="%1.%2."/>
      <w:lvlJc w:val="left"/>
      <w:pPr>
        <w:ind w:left="1573" w:hanging="1005"/>
      </w:pPr>
      <w:rPr>
        <w:rFonts w:hint="default"/>
        <w:b w:val="0"/>
        <w:i w:val="0"/>
      </w:rPr>
    </w:lvl>
    <w:lvl w:ilvl="2" w:tentative="0">
      <w:start w:val="1"/>
      <w:numFmt w:val="decimal"/>
      <w:pStyle w:val="164"/>
      <w:lvlText w:val="%1.%2.%3."/>
      <w:lvlJc w:val="left"/>
      <w:pPr>
        <w:ind w:left="1005" w:hanging="1005"/>
      </w:pPr>
      <w:rPr>
        <w:rFonts w:hint="default"/>
      </w:rPr>
    </w:lvl>
    <w:lvl w:ilvl="3" w:tentative="0">
      <w:start w:val="1"/>
      <w:numFmt w:val="decimal"/>
      <w:lvlText w:val="%1.%2.%3.%4."/>
      <w:lvlJc w:val="left"/>
      <w:pPr>
        <w:ind w:left="2625" w:hanging="1005"/>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680" w:hanging="144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6120" w:hanging="1800"/>
      </w:pPr>
      <w:rPr>
        <w:rFonts w:hint="default"/>
      </w:rPr>
    </w:lvl>
  </w:abstractNum>
  <w:abstractNum w:abstractNumId="9">
    <w:nsid w:val="2F1B55FF"/>
    <w:multiLevelType w:val="singleLevel"/>
    <w:tmpl w:val="2F1B55FF"/>
    <w:lvl w:ilvl="0" w:tentative="0">
      <w:start w:val="1"/>
      <w:numFmt w:val="decimal"/>
      <w:lvlText w:val="%1."/>
      <w:lvlJc w:val="left"/>
      <w:pPr>
        <w:tabs>
          <w:tab w:val="left" w:pos="360"/>
        </w:tabs>
        <w:ind w:left="360" w:hanging="360"/>
      </w:pPr>
    </w:lvl>
  </w:abstractNum>
  <w:abstractNum w:abstractNumId="10">
    <w:nsid w:val="478A395C"/>
    <w:multiLevelType w:val="multilevel"/>
    <w:tmpl w:val="478A395C"/>
    <w:lvl w:ilvl="0" w:tentative="0">
      <w:start w:val="1"/>
      <w:numFmt w:val="decimal"/>
      <w:lvlText w:val="%1."/>
      <w:lvlJc w:val="left"/>
      <w:pPr>
        <w:tabs>
          <w:tab w:val="left" w:pos="1134"/>
        </w:tabs>
        <w:ind w:left="1134" w:hanging="1134"/>
      </w:pPr>
      <w:rPr>
        <w:rFonts w:hint="default" w:ascii="Times New Roman" w:hAnsi="Times New Roman" w:cs="Times New Roman"/>
      </w:rPr>
    </w:lvl>
    <w:lvl w:ilvl="1" w:tentative="0">
      <w:start w:val="1"/>
      <w:numFmt w:val="decimal"/>
      <w:lvlText w:val="%1.%2"/>
      <w:lvlJc w:val="left"/>
      <w:pPr>
        <w:tabs>
          <w:tab w:val="left" w:pos="1560"/>
        </w:tabs>
        <w:ind w:left="1560" w:hanging="1134"/>
      </w:pPr>
      <w:rPr>
        <w:rFonts w:hint="default"/>
        <w:b/>
        <w:i w:val="0"/>
        <w:sz w:val="28"/>
        <w:szCs w:val="28"/>
      </w:rPr>
    </w:lvl>
    <w:lvl w:ilvl="2" w:tentative="0">
      <w:start w:val="1"/>
      <w:numFmt w:val="decimal"/>
      <w:pStyle w:val="348"/>
      <w:lvlText w:val="%1.%2.%3"/>
      <w:lvlJc w:val="left"/>
      <w:pPr>
        <w:tabs>
          <w:tab w:val="left" w:pos="1134"/>
        </w:tabs>
        <w:ind w:left="1134" w:hanging="1134"/>
      </w:pPr>
      <w:rPr>
        <w:rFonts w:hint="default"/>
        <w:b w:val="0"/>
        <w:i w:val="0"/>
        <w:sz w:val="26"/>
        <w:szCs w:val="26"/>
      </w:rPr>
    </w:lvl>
    <w:lvl w:ilvl="3" w:tentative="0">
      <w:start w:val="1"/>
      <w:numFmt w:val="decimal"/>
      <w:lvlText w:val="%1.%2.%3.%4"/>
      <w:lvlJc w:val="left"/>
      <w:pPr>
        <w:tabs>
          <w:tab w:val="left" w:pos="1134"/>
        </w:tabs>
        <w:ind w:left="1134" w:hanging="1134"/>
      </w:pPr>
      <w:rPr>
        <w:rFonts w:hint="default"/>
        <w:b w:val="0"/>
        <w:i w:val="0"/>
      </w:rPr>
    </w:lvl>
    <w:lvl w:ilvl="4" w:tentative="0">
      <w:start w:val="1"/>
      <w:numFmt w:val="russianLower"/>
      <w:pStyle w:val="366"/>
      <w:lvlText w:val="%5)"/>
      <w:lvlJc w:val="left"/>
      <w:pPr>
        <w:tabs>
          <w:tab w:val="left" w:pos="5104"/>
        </w:tabs>
        <w:ind w:left="5104" w:hanging="567"/>
      </w:pPr>
      <w:rPr>
        <w:rFonts w:hint="default"/>
        <w:b w:val="0"/>
        <w:i w:val="0"/>
      </w:rPr>
    </w:lvl>
    <w:lvl w:ilvl="5" w:tentative="0">
      <w:start w:val="1"/>
      <w:numFmt w:val="decimal"/>
      <w:lvlText w:val="%1.%2.%3.%4.%5.%6."/>
      <w:lvlJc w:val="left"/>
      <w:pPr>
        <w:tabs>
          <w:tab w:val="left" w:pos="3960"/>
        </w:tabs>
        <w:ind w:left="2736" w:hanging="936"/>
      </w:pPr>
      <w:rPr>
        <w:rFonts w:hint="default"/>
      </w:rPr>
    </w:lvl>
    <w:lvl w:ilvl="6" w:tentative="0">
      <w:start w:val="1"/>
      <w:numFmt w:val="decimal"/>
      <w:lvlText w:val="%1.%2.%3.%4.%5.%6.%7."/>
      <w:lvlJc w:val="left"/>
      <w:pPr>
        <w:tabs>
          <w:tab w:val="left" w:pos="4680"/>
        </w:tabs>
        <w:ind w:left="3240" w:hanging="1080"/>
      </w:pPr>
      <w:rPr>
        <w:rFonts w:hint="default"/>
      </w:rPr>
    </w:lvl>
    <w:lvl w:ilvl="7" w:tentative="0">
      <w:start w:val="1"/>
      <w:numFmt w:val="decimal"/>
      <w:lvlText w:val="%1.%2.%3.%4.%5.%6.%7.%8."/>
      <w:lvlJc w:val="left"/>
      <w:pPr>
        <w:tabs>
          <w:tab w:val="left" w:pos="5400"/>
        </w:tabs>
        <w:ind w:left="3744" w:hanging="1224"/>
      </w:pPr>
      <w:rPr>
        <w:rFonts w:hint="default"/>
      </w:rPr>
    </w:lvl>
    <w:lvl w:ilvl="8" w:tentative="0">
      <w:start w:val="1"/>
      <w:numFmt w:val="decimal"/>
      <w:lvlText w:val="%1.%2.%3.%4.%5.%6.%7.%8.%9."/>
      <w:lvlJc w:val="left"/>
      <w:pPr>
        <w:tabs>
          <w:tab w:val="left" w:pos="6120"/>
        </w:tabs>
        <w:ind w:left="4320" w:hanging="1440"/>
      </w:pPr>
      <w:rPr>
        <w:rFonts w:hint="default"/>
      </w:rPr>
    </w:lvl>
  </w:abstractNum>
  <w:abstractNum w:abstractNumId="11">
    <w:nsid w:val="4CD0092E"/>
    <w:multiLevelType w:val="multilevel"/>
    <w:tmpl w:val="4CD0092E"/>
    <w:lvl w:ilvl="0" w:tentative="0">
      <w:start w:val="1"/>
      <w:numFmt w:val="bullet"/>
      <w:pStyle w:val="127"/>
      <w:lvlText w:val=""/>
      <w:lvlJc w:val="left"/>
      <w:pPr>
        <w:tabs>
          <w:tab w:val="left" w:pos="1430"/>
        </w:tabs>
        <w:ind w:left="1430" w:hanging="360"/>
      </w:pPr>
      <w:rPr>
        <w:rFonts w:hint="default" w:ascii="Symbol" w:hAnsi="Symbol"/>
      </w:rPr>
    </w:lvl>
    <w:lvl w:ilvl="1" w:tentative="0">
      <w:start w:val="1"/>
      <w:numFmt w:val="bullet"/>
      <w:lvlText w:val=""/>
      <w:lvlJc w:val="left"/>
      <w:pPr>
        <w:tabs>
          <w:tab w:val="left" w:pos="2150"/>
        </w:tabs>
        <w:ind w:left="2150" w:hanging="360"/>
      </w:pPr>
      <w:rPr>
        <w:rFonts w:hint="default" w:ascii="Symbol" w:hAnsi="Symbol"/>
      </w:rPr>
    </w:lvl>
    <w:lvl w:ilvl="2" w:tentative="0">
      <w:start w:val="1"/>
      <w:numFmt w:val="bullet"/>
      <w:lvlText w:val=""/>
      <w:lvlJc w:val="left"/>
      <w:pPr>
        <w:tabs>
          <w:tab w:val="left" w:pos="2870"/>
        </w:tabs>
        <w:ind w:left="2870" w:hanging="360"/>
      </w:pPr>
      <w:rPr>
        <w:rFonts w:hint="default" w:ascii="Wingdings" w:hAnsi="Wingdings"/>
      </w:rPr>
    </w:lvl>
    <w:lvl w:ilvl="3" w:tentative="0">
      <w:start w:val="1"/>
      <w:numFmt w:val="bullet"/>
      <w:lvlText w:val=""/>
      <w:lvlJc w:val="left"/>
      <w:pPr>
        <w:tabs>
          <w:tab w:val="left" w:pos="3590"/>
        </w:tabs>
        <w:ind w:left="3590" w:hanging="360"/>
      </w:pPr>
      <w:rPr>
        <w:rFonts w:hint="default" w:ascii="Symbol" w:hAnsi="Symbol"/>
      </w:rPr>
    </w:lvl>
    <w:lvl w:ilvl="4" w:tentative="0">
      <w:start w:val="1"/>
      <w:numFmt w:val="bullet"/>
      <w:lvlText w:val="o"/>
      <w:lvlJc w:val="left"/>
      <w:pPr>
        <w:tabs>
          <w:tab w:val="left" w:pos="4310"/>
        </w:tabs>
        <w:ind w:left="4310" w:hanging="360"/>
      </w:pPr>
      <w:rPr>
        <w:rFonts w:hint="default" w:ascii="Courier New" w:hAnsi="Courier New"/>
      </w:rPr>
    </w:lvl>
    <w:lvl w:ilvl="5" w:tentative="0">
      <w:start w:val="1"/>
      <w:numFmt w:val="bullet"/>
      <w:lvlText w:val=""/>
      <w:lvlJc w:val="left"/>
      <w:pPr>
        <w:tabs>
          <w:tab w:val="left" w:pos="5030"/>
        </w:tabs>
        <w:ind w:left="5030" w:hanging="360"/>
      </w:pPr>
      <w:rPr>
        <w:rFonts w:hint="default" w:ascii="Wingdings" w:hAnsi="Wingdings"/>
      </w:rPr>
    </w:lvl>
    <w:lvl w:ilvl="6" w:tentative="0">
      <w:start w:val="1"/>
      <w:numFmt w:val="bullet"/>
      <w:lvlText w:val=""/>
      <w:lvlJc w:val="left"/>
      <w:pPr>
        <w:tabs>
          <w:tab w:val="left" w:pos="5750"/>
        </w:tabs>
        <w:ind w:left="5750" w:hanging="360"/>
      </w:pPr>
      <w:rPr>
        <w:rFonts w:hint="default" w:ascii="Symbol" w:hAnsi="Symbol"/>
      </w:rPr>
    </w:lvl>
    <w:lvl w:ilvl="7" w:tentative="0">
      <w:start w:val="1"/>
      <w:numFmt w:val="bullet"/>
      <w:lvlText w:val="o"/>
      <w:lvlJc w:val="left"/>
      <w:pPr>
        <w:tabs>
          <w:tab w:val="left" w:pos="6470"/>
        </w:tabs>
        <w:ind w:left="6470" w:hanging="360"/>
      </w:pPr>
      <w:rPr>
        <w:rFonts w:hint="default" w:ascii="Courier New" w:hAnsi="Courier New"/>
      </w:rPr>
    </w:lvl>
    <w:lvl w:ilvl="8" w:tentative="0">
      <w:start w:val="1"/>
      <w:numFmt w:val="bullet"/>
      <w:lvlText w:val=""/>
      <w:lvlJc w:val="left"/>
      <w:pPr>
        <w:tabs>
          <w:tab w:val="left" w:pos="7190"/>
        </w:tabs>
        <w:ind w:left="7190" w:hanging="360"/>
      </w:pPr>
      <w:rPr>
        <w:rFonts w:hint="default" w:ascii="Wingdings" w:hAnsi="Wingdings"/>
      </w:rPr>
    </w:lvl>
  </w:abstractNum>
  <w:abstractNum w:abstractNumId="12">
    <w:nsid w:val="4ECC8527"/>
    <w:multiLevelType w:val="singleLevel"/>
    <w:tmpl w:val="4ECC8527"/>
    <w:lvl w:ilvl="0" w:tentative="0">
      <w:start w:val="1"/>
      <w:numFmt w:val="bullet"/>
      <w:lvlText w:val="−"/>
      <w:lvlJc w:val="left"/>
      <w:pPr>
        <w:tabs>
          <w:tab w:val="left" w:pos="420"/>
        </w:tabs>
        <w:ind w:left="420" w:hanging="420"/>
      </w:pPr>
      <w:rPr>
        <w:rFonts w:hint="default" w:ascii="Arial" w:hAnsi="Arial" w:cs="Arial"/>
      </w:rPr>
    </w:lvl>
  </w:abstractNum>
  <w:abstractNum w:abstractNumId="13">
    <w:nsid w:val="4FDA35FB"/>
    <w:multiLevelType w:val="multilevel"/>
    <w:tmpl w:val="4FDA35FB"/>
    <w:lvl w:ilvl="0" w:tentative="0">
      <w:start w:val="1"/>
      <w:numFmt w:val="bullet"/>
      <w:pStyle w:val="139"/>
      <w:lvlText w:val=""/>
      <w:lvlJc w:val="left"/>
      <w:pPr>
        <w:tabs>
          <w:tab w:val="left" w:pos="567"/>
        </w:tabs>
        <w:ind w:left="567" w:hanging="283"/>
      </w:pPr>
      <w:rPr>
        <w:rFonts w:hint="default" w:ascii="Symbol" w:hAnsi="Symbol"/>
        <w:b w:val="0"/>
        <w:i w:val="0"/>
        <w:sz w:val="24"/>
        <w:szCs w:val="24"/>
      </w:rPr>
    </w:lvl>
    <w:lvl w:ilvl="1" w:tentative="0">
      <w:start w:val="1"/>
      <w:numFmt w:val="bullet"/>
      <w:lvlText w:val=""/>
      <w:lvlJc w:val="left"/>
      <w:pPr>
        <w:tabs>
          <w:tab w:val="left" w:pos="851"/>
        </w:tabs>
        <w:ind w:left="851" w:hanging="284"/>
      </w:pPr>
      <w:rPr>
        <w:rFonts w:hint="default" w:ascii="Wingdings" w:hAnsi="Wingdings"/>
        <w:b w:val="0"/>
        <w:i w:val="0"/>
        <w:sz w:val="20"/>
        <w:szCs w:val="24"/>
      </w:rPr>
    </w:lvl>
    <w:lvl w:ilvl="2" w:tentative="0">
      <w:start w:val="1"/>
      <w:numFmt w:val="bullet"/>
      <w:lvlText w:val=""/>
      <w:lvlJc w:val="left"/>
      <w:pPr>
        <w:tabs>
          <w:tab w:val="left" w:pos="1134"/>
        </w:tabs>
        <w:ind w:left="1134" w:hanging="283"/>
      </w:pPr>
      <w:rPr>
        <w:rFonts w:hint="default" w:ascii="Wingdings" w:hAnsi="Wingdings"/>
      </w:rPr>
    </w:lvl>
    <w:lvl w:ilvl="3" w:tentative="0">
      <w:start w:val="1"/>
      <w:numFmt w:val="bullet"/>
      <w:lvlText w:val=""/>
      <w:lvlJc w:val="left"/>
      <w:pPr>
        <w:tabs>
          <w:tab w:val="left" w:pos="1724"/>
        </w:tabs>
        <w:ind w:left="1724" w:hanging="360"/>
      </w:pPr>
      <w:rPr>
        <w:rFonts w:hint="default" w:ascii="Symbol" w:hAnsi="Symbol"/>
      </w:rPr>
    </w:lvl>
    <w:lvl w:ilvl="4" w:tentative="0">
      <w:start w:val="1"/>
      <w:numFmt w:val="bullet"/>
      <w:lvlText w:val=""/>
      <w:lvlJc w:val="left"/>
      <w:pPr>
        <w:tabs>
          <w:tab w:val="left" w:pos="2084"/>
        </w:tabs>
        <w:ind w:left="2084" w:hanging="360"/>
      </w:pPr>
      <w:rPr>
        <w:rFonts w:hint="default" w:ascii="Symbol" w:hAnsi="Symbol"/>
      </w:rPr>
    </w:lvl>
    <w:lvl w:ilvl="5" w:tentative="0">
      <w:start w:val="1"/>
      <w:numFmt w:val="bullet"/>
      <w:lvlText w:val=""/>
      <w:lvlJc w:val="left"/>
      <w:pPr>
        <w:tabs>
          <w:tab w:val="left" w:pos="2444"/>
        </w:tabs>
        <w:ind w:left="2444" w:hanging="360"/>
      </w:pPr>
      <w:rPr>
        <w:rFonts w:hint="default" w:ascii="Wingdings" w:hAnsi="Wingdings"/>
      </w:rPr>
    </w:lvl>
    <w:lvl w:ilvl="6" w:tentative="0">
      <w:start w:val="1"/>
      <w:numFmt w:val="bullet"/>
      <w:lvlText w:val=""/>
      <w:lvlJc w:val="left"/>
      <w:pPr>
        <w:tabs>
          <w:tab w:val="left" w:pos="2804"/>
        </w:tabs>
        <w:ind w:left="2804" w:hanging="360"/>
      </w:pPr>
      <w:rPr>
        <w:rFonts w:hint="default" w:ascii="Wingdings" w:hAnsi="Wingdings"/>
      </w:rPr>
    </w:lvl>
    <w:lvl w:ilvl="7" w:tentative="0">
      <w:start w:val="1"/>
      <w:numFmt w:val="bullet"/>
      <w:lvlText w:val=""/>
      <w:lvlJc w:val="left"/>
      <w:pPr>
        <w:tabs>
          <w:tab w:val="left" w:pos="3164"/>
        </w:tabs>
        <w:ind w:left="3164" w:hanging="360"/>
      </w:pPr>
      <w:rPr>
        <w:rFonts w:hint="default" w:ascii="Symbol" w:hAnsi="Symbol"/>
      </w:rPr>
    </w:lvl>
    <w:lvl w:ilvl="8" w:tentative="0">
      <w:start w:val="1"/>
      <w:numFmt w:val="bullet"/>
      <w:lvlText w:val=""/>
      <w:lvlJc w:val="left"/>
      <w:pPr>
        <w:tabs>
          <w:tab w:val="left" w:pos="3524"/>
        </w:tabs>
        <w:ind w:left="3524" w:hanging="360"/>
      </w:pPr>
      <w:rPr>
        <w:rFonts w:hint="default" w:ascii="Symbol" w:hAnsi="Symbol"/>
      </w:rPr>
    </w:lvl>
  </w:abstractNum>
  <w:abstractNum w:abstractNumId="14">
    <w:nsid w:val="63198411"/>
    <w:multiLevelType w:val="singleLevel"/>
    <w:tmpl w:val="63198411"/>
    <w:lvl w:ilvl="0" w:tentative="0">
      <w:start w:val="1"/>
      <w:numFmt w:val="bullet"/>
      <w:lvlText w:val="−"/>
      <w:lvlJc w:val="left"/>
      <w:pPr>
        <w:tabs>
          <w:tab w:val="left" w:pos="420"/>
        </w:tabs>
        <w:ind w:left="420" w:hanging="420"/>
      </w:pPr>
      <w:rPr>
        <w:rFonts w:hint="default" w:ascii="Arial" w:hAnsi="Arial" w:cs="Arial"/>
      </w:rPr>
    </w:lvl>
  </w:abstractNum>
  <w:abstractNum w:abstractNumId="15">
    <w:nsid w:val="6B1CC0D8"/>
    <w:multiLevelType w:val="singleLevel"/>
    <w:tmpl w:val="6B1CC0D8"/>
    <w:lvl w:ilvl="0" w:tentative="0">
      <w:start w:val="1"/>
      <w:numFmt w:val="bullet"/>
      <w:lvlText w:val="−"/>
      <w:lvlJc w:val="left"/>
      <w:pPr>
        <w:tabs>
          <w:tab w:val="left" w:pos="420"/>
        </w:tabs>
        <w:ind w:left="420" w:hanging="420"/>
      </w:pPr>
      <w:rPr>
        <w:rFonts w:hint="default" w:ascii="Arial" w:hAnsi="Arial" w:cs="Arial"/>
      </w:rPr>
    </w:lvl>
  </w:abstractNum>
  <w:abstractNum w:abstractNumId="16">
    <w:nsid w:val="7BE01554"/>
    <w:multiLevelType w:val="multilevel"/>
    <w:tmpl w:val="7BE01554"/>
    <w:lvl w:ilvl="0" w:tentative="0">
      <w:start w:val="1"/>
      <w:numFmt w:val="none"/>
      <w:pStyle w:val="201"/>
      <w:lvlText w:val="%1"/>
      <w:lvlJc w:val="left"/>
      <w:pPr>
        <w:tabs>
          <w:tab w:val="left" w:pos="360"/>
        </w:tabs>
        <w:ind w:left="0" w:firstLine="0"/>
      </w:pPr>
      <w:rPr>
        <w:rFonts w:hint="default"/>
      </w:rPr>
    </w:lvl>
    <w:lvl w:ilvl="1" w:tentative="0">
      <w:start w:val="1"/>
      <w:numFmt w:val="decimal"/>
      <w:pStyle w:val="44"/>
      <w:lvlText w:val="%1%2."/>
      <w:lvlJc w:val="left"/>
      <w:pPr>
        <w:tabs>
          <w:tab w:val="left" w:pos="720"/>
        </w:tabs>
        <w:ind w:left="357" w:hanging="357"/>
      </w:pPr>
      <w:rPr>
        <w:rFonts w:hint="default"/>
      </w:rPr>
    </w:lvl>
    <w:lvl w:ilvl="2" w:tentative="0">
      <w:start w:val="1"/>
      <w:numFmt w:val="decimal"/>
      <w:pStyle w:val="202"/>
      <w:lvlText w:val="%2.%1%3."/>
      <w:lvlJc w:val="left"/>
      <w:pPr>
        <w:tabs>
          <w:tab w:val="left" w:pos="1077"/>
        </w:tabs>
        <w:ind w:left="737" w:hanging="380"/>
      </w:pPr>
      <w:rPr>
        <w:rFonts w:hint="default"/>
      </w:rPr>
    </w:lvl>
    <w:lvl w:ilvl="3" w:tentative="0">
      <w:start w:val="1"/>
      <w:numFmt w:val="none"/>
      <w:lvlText w:val="%1"/>
      <w:lvlJc w:val="left"/>
      <w:pPr>
        <w:tabs>
          <w:tab w:val="left" w:pos="2880"/>
        </w:tabs>
        <w:ind w:left="2880" w:hanging="720"/>
      </w:pPr>
      <w:rPr>
        <w:rFonts w:hint="default"/>
      </w:rPr>
    </w:lvl>
    <w:lvl w:ilvl="4" w:tentative="0">
      <w:start w:val="1"/>
      <w:numFmt w:val="none"/>
      <w:lvlText w:val="%1"/>
      <w:lvlJc w:val="left"/>
      <w:pPr>
        <w:tabs>
          <w:tab w:val="left" w:pos="3600"/>
        </w:tabs>
        <w:ind w:left="3600" w:hanging="720"/>
      </w:pPr>
      <w:rPr>
        <w:rFonts w:hint="default"/>
      </w:rPr>
    </w:lvl>
    <w:lvl w:ilvl="5" w:tentative="0">
      <w:start w:val="1"/>
      <w:numFmt w:val="none"/>
      <w:lvlText w:val="%1"/>
      <w:lvlJc w:val="left"/>
      <w:pPr>
        <w:tabs>
          <w:tab w:val="left" w:pos="4320"/>
        </w:tabs>
        <w:ind w:left="4320" w:hanging="720"/>
      </w:pPr>
      <w:rPr>
        <w:rFonts w:hint="default"/>
      </w:rPr>
    </w:lvl>
    <w:lvl w:ilvl="6" w:tentative="0">
      <w:start w:val="1"/>
      <w:numFmt w:val="none"/>
      <w:lvlText w:val="%1"/>
      <w:lvlJc w:val="left"/>
      <w:pPr>
        <w:tabs>
          <w:tab w:val="left" w:pos="5040"/>
        </w:tabs>
        <w:ind w:left="5040" w:hanging="720"/>
      </w:pPr>
      <w:rPr>
        <w:rFonts w:hint="default"/>
      </w:rPr>
    </w:lvl>
    <w:lvl w:ilvl="7" w:tentative="0">
      <w:start w:val="1"/>
      <w:numFmt w:val="none"/>
      <w:lvlText w:val="%1"/>
      <w:lvlJc w:val="left"/>
      <w:pPr>
        <w:tabs>
          <w:tab w:val="left" w:pos="5760"/>
        </w:tabs>
        <w:ind w:left="5760" w:hanging="720"/>
      </w:pPr>
      <w:rPr>
        <w:rFonts w:hint="default"/>
      </w:rPr>
    </w:lvl>
    <w:lvl w:ilvl="8" w:tentative="0">
      <w:start w:val="1"/>
      <w:numFmt w:val="none"/>
      <w:lvlText w:val="%1"/>
      <w:lvlJc w:val="left"/>
      <w:pPr>
        <w:tabs>
          <w:tab w:val="left" w:pos="6480"/>
        </w:tabs>
        <w:ind w:left="6480" w:hanging="720"/>
      </w:pPr>
      <w:rPr>
        <w:rFonts w:hint="default"/>
      </w:rPr>
    </w:lvl>
  </w:abstractNum>
  <w:num w:numId="1">
    <w:abstractNumId w:val="9"/>
  </w:num>
  <w:num w:numId="2">
    <w:abstractNumId w:val="16"/>
  </w:num>
  <w:num w:numId="3">
    <w:abstractNumId w:val="7"/>
  </w:num>
  <w:num w:numId="4">
    <w:abstractNumId w:val="11"/>
  </w:num>
  <w:num w:numId="5">
    <w:abstractNumId w:val="13"/>
  </w:num>
  <w:num w:numId="6">
    <w:abstractNumId w:val="8"/>
  </w:num>
  <w:num w:numId="7">
    <w:abstractNumId w:val="6"/>
  </w:num>
  <w:num w:numId="8">
    <w:abstractNumId w:val="10"/>
  </w:num>
  <w:num w:numId="9">
    <w:abstractNumId w:val="3"/>
  </w:num>
  <w:num w:numId="10">
    <w:abstractNumId w:val="5"/>
  </w:num>
  <w:num w:numId="11">
    <w:abstractNumId w:val="12"/>
  </w:num>
  <w:num w:numId="12">
    <w:abstractNumId w:val="2"/>
  </w:num>
  <w:num w:numId="13">
    <w:abstractNumId w:val="0"/>
  </w:num>
  <w:num w:numId="14">
    <w:abstractNumId w:val="4"/>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2"/>
    <w:footnote w:id="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BD"/>
    <w:rsid w:val="000016F3"/>
    <w:rsid w:val="00021A41"/>
    <w:rsid w:val="00023D1A"/>
    <w:rsid w:val="000450EC"/>
    <w:rsid w:val="00056910"/>
    <w:rsid w:val="000674EA"/>
    <w:rsid w:val="000A5FFF"/>
    <w:rsid w:val="000B19C3"/>
    <w:rsid w:val="000C074C"/>
    <w:rsid w:val="000C7D28"/>
    <w:rsid w:val="000D7F49"/>
    <w:rsid w:val="0012563D"/>
    <w:rsid w:val="00150E2C"/>
    <w:rsid w:val="00162AB9"/>
    <w:rsid w:val="00172C17"/>
    <w:rsid w:val="00180A3E"/>
    <w:rsid w:val="0019684D"/>
    <w:rsid w:val="001B078D"/>
    <w:rsid w:val="001C27DE"/>
    <w:rsid w:val="001F6323"/>
    <w:rsid w:val="002131E0"/>
    <w:rsid w:val="0023469F"/>
    <w:rsid w:val="002432DA"/>
    <w:rsid w:val="002558A3"/>
    <w:rsid w:val="00286551"/>
    <w:rsid w:val="00292A85"/>
    <w:rsid w:val="002B4E39"/>
    <w:rsid w:val="002C25D9"/>
    <w:rsid w:val="002E1F65"/>
    <w:rsid w:val="002F0AFE"/>
    <w:rsid w:val="00315EE0"/>
    <w:rsid w:val="0033053F"/>
    <w:rsid w:val="00375EC8"/>
    <w:rsid w:val="00376BE5"/>
    <w:rsid w:val="00396AFA"/>
    <w:rsid w:val="003A458F"/>
    <w:rsid w:val="003A5E08"/>
    <w:rsid w:val="003A791D"/>
    <w:rsid w:val="003B12DB"/>
    <w:rsid w:val="003F263E"/>
    <w:rsid w:val="004517A4"/>
    <w:rsid w:val="00463FF0"/>
    <w:rsid w:val="004678D0"/>
    <w:rsid w:val="004944A1"/>
    <w:rsid w:val="004B6BB9"/>
    <w:rsid w:val="004B76D8"/>
    <w:rsid w:val="004B7B4A"/>
    <w:rsid w:val="004C3FCB"/>
    <w:rsid w:val="004C4A04"/>
    <w:rsid w:val="004E4809"/>
    <w:rsid w:val="005536B6"/>
    <w:rsid w:val="00591370"/>
    <w:rsid w:val="0059501E"/>
    <w:rsid w:val="005C3F3B"/>
    <w:rsid w:val="005C6611"/>
    <w:rsid w:val="005E44DB"/>
    <w:rsid w:val="00607DEF"/>
    <w:rsid w:val="0063382C"/>
    <w:rsid w:val="006429B8"/>
    <w:rsid w:val="00692CED"/>
    <w:rsid w:val="006A21F4"/>
    <w:rsid w:val="006B00F0"/>
    <w:rsid w:val="006B2132"/>
    <w:rsid w:val="006B37CC"/>
    <w:rsid w:val="006C20F0"/>
    <w:rsid w:val="006F097C"/>
    <w:rsid w:val="007078B7"/>
    <w:rsid w:val="007B3232"/>
    <w:rsid w:val="007C3769"/>
    <w:rsid w:val="00800DE0"/>
    <w:rsid w:val="00811642"/>
    <w:rsid w:val="008542B2"/>
    <w:rsid w:val="00871A2A"/>
    <w:rsid w:val="008A1F8E"/>
    <w:rsid w:val="008C600A"/>
    <w:rsid w:val="0093117A"/>
    <w:rsid w:val="0094355D"/>
    <w:rsid w:val="009525DE"/>
    <w:rsid w:val="00970A0F"/>
    <w:rsid w:val="00997831"/>
    <w:rsid w:val="009A435D"/>
    <w:rsid w:val="009A6F28"/>
    <w:rsid w:val="009B58BA"/>
    <w:rsid w:val="009F288F"/>
    <w:rsid w:val="00A00932"/>
    <w:rsid w:val="00A271BC"/>
    <w:rsid w:val="00A50CF6"/>
    <w:rsid w:val="00A9711C"/>
    <w:rsid w:val="00AB38CA"/>
    <w:rsid w:val="00AD737F"/>
    <w:rsid w:val="00AF1A7F"/>
    <w:rsid w:val="00B11ACF"/>
    <w:rsid w:val="00B11D85"/>
    <w:rsid w:val="00B63F78"/>
    <w:rsid w:val="00B718C6"/>
    <w:rsid w:val="00B73C65"/>
    <w:rsid w:val="00B75770"/>
    <w:rsid w:val="00BB0CBD"/>
    <w:rsid w:val="00BC12F8"/>
    <w:rsid w:val="00BC4BB6"/>
    <w:rsid w:val="00BE7A45"/>
    <w:rsid w:val="00C1179E"/>
    <w:rsid w:val="00C83AE1"/>
    <w:rsid w:val="00C877B5"/>
    <w:rsid w:val="00C92F51"/>
    <w:rsid w:val="00CA4C58"/>
    <w:rsid w:val="00CD6562"/>
    <w:rsid w:val="00D147FE"/>
    <w:rsid w:val="00D171F4"/>
    <w:rsid w:val="00D35810"/>
    <w:rsid w:val="00D71535"/>
    <w:rsid w:val="00DC1443"/>
    <w:rsid w:val="00DD5B2E"/>
    <w:rsid w:val="00DE0137"/>
    <w:rsid w:val="00DF5666"/>
    <w:rsid w:val="00E06535"/>
    <w:rsid w:val="00E11AC4"/>
    <w:rsid w:val="00E12B0D"/>
    <w:rsid w:val="00E21E12"/>
    <w:rsid w:val="00E459F3"/>
    <w:rsid w:val="00E50ABA"/>
    <w:rsid w:val="00E64F2C"/>
    <w:rsid w:val="00E83E64"/>
    <w:rsid w:val="00EA7152"/>
    <w:rsid w:val="00EB5255"/>
    <w:rsid w:val="00EE50C6"/>
    <w:rsid w:val="00F105B9"/>
    <w:rsid w:val="00F126A6"/>
    <w:rsid w:val="00F566EC"/>
    <w:rsid w:val="00F622D4"/>
    <w:rsid w:val="00F636A5"/>
    <w:rsid w:val="00F9008E"/>
    <w:rsid w:val="00F90B1E"/>
    <w:rsid w:val="00FA18F4"/>
    <w:rsid w:val="00FB384D"/>
    <w:rsid w:val="00FC5C3F"/>
    <w:rsid w:val="00FC7402"/>
    <w:rsid w:val="00FD6F5F"/>
    <w:rsid w:val="020773B0"/>
    <w:rsid w:val="031D06F0"/>
    <w:rsid w:val="032950A3"/>
    <w:rsid w:val="03CC7462"/>
    <w:rsid w:val="052A298A"/>
    <w:rsid w:val="0558520E"/>
    <w:rsid w:val="067E2201"/>
    <w:rsid w:val="068064EC"/>
    <w:rsid w:val="06BA28D6"/>
    <w:rsid w:val="06C003C5"/>
    <w:rsid w:val="073E6D6C"/>
    <w:rsid w:val="08D6344B"/>
    <w:rsid w:val="09452BF0"/>
    <w:rsid w:val="09900B0B"/>
    <w:rsid w:val="09E45F7F"/>
    <w:rsid w:val="0A851F11"/>
    <w:rsid w:val="0B712907"/>
    <w:rsid w:val="0C4C26BB"/>
    <w:rsid w:val="0C9E08EF"/>
    <w:rsid w:val="0CD9233F"/>
    <w:rsid w:val="0D0E3BBA"/>
    <w:rsid w:val="0E3D479A"/>
    <w:rsid w:val="0EE93D5A"/>
    <w:rsid w:val="119D31A7"/>
    <w:rsid w:val="12134B00"/>
    <w:rsid w:val="131A73A1"/>
    <w:rsid w:val="13D830E2"/>
    <w:rsid w:val="143673A3"/>
    <w:rsid w:val="144D0304"/>
    <w:rsid w:val="147B1407"/>
    <w:rsid w:val="14B12548"/>
    <w:rsid w:val="17E23BFA"/>
    <w:rsid w:val="18220B15"/>
    <w:rsid w:val="18675C18"/>
    <w:rsid w:val="19AB4D2F"/>
    <w:rsid w:val="1B726D52"/>
    <w:rsid w:val="1D367BF8"/>
    <w:rsid w:val="1F911B4D"/>
    <w:rsid w:val="20A101C6"/>
    <w:rsid w:val="210551B6"/>
    <w:rsid w:val="218C0D1A"/>
    <w:rsid w:val="21AF1133"/>
    <w:rsid w:val="221E7686"/>
    <w:rsid w:val="22BC75D8"/>
    <w:rsid w:val="23E67116"/>
    <w:rsid w:val="24A67F01"/>
    <w:rsid w:val="25D37E21"/>
    <w:rsid w:val="26CD653A"/>
    <w:rsid w:val="283E4247"/>
    <w:rsid w:val="286B2387"/>
    <w:rsid w:val="29600717"/>
    <w:rsid w:val="29DE71B2"/>
    <w:rsid w:val="2A1E3495"/>
    <w:rsid w:val="2AC54E66"/>
    <w:rsid w:val="2BB55B19"/>
    <w:rsid w:val="2BD255E6"/>
    <w:rsid w:val="2C440277"/>
    <w:rsid w:val="2EC402B5"/>
    <w:rsid w:val="2F450C09"/>
    <w:rsid w:val="30661878"/>
    <w:rsid w:val="34F34B4B"/>
    <w:rsid w:val="35534CE3"/>
    <w:rsid w:val="36AE2B78"/>
    <w:rsid w:val="36CD38D8"/>
    <w:rsid w:val="36E95E7B"/>
    <w:rsid w:val="37785190"/>
    <w:rsid w:val="37934A25"/>
    <w:rsid w:val="37C74A1C"/>
    <w:rsid w:val="39626BBC"/>
    <w:rsid w:val="3BEC43B3"/>
    <w:rsid w:val="3BF535DC"/>
    <w:rsid w:val="3D0311E8"/>
    <w:rsid w:val="3D4D7FD5"/>
    <w:rsid w:val="3E3603F1"/>
    <w:rsid w:val="40EC7DDE"/>
    <w:rsid w:val="423B3B10"/>
    <w:rsid w:val="43B835F2"/>
    <w:rsid w:val="43C87B01"/>
    <w:rsid w:val="44C3768F"/>
    <w:rsid w:val="46492D1F"/>
    <w:rsid w:val="46AF6585"/>
    <w:rsid w:val="48817013"/>
    <w:rsid w:val="4BF30D9E"/>
    <w:rsid w:val="4C07034B"/>
    <w:rsid w:val="4CE335F9"/>
    <w:rsid w:val="4D9E5F0A"/>
    <w:rsid w:val="4E173FA3"/>
    <w:rsid w:val="4E9B6208"/>
    <w:rsid w:val="4FDE0E39"/>
    <w:rsid w:val="50603462"/>
    <w:rsid w:val="50726B6E"/>
    <w:rsid w:val="5138503F"/>
    <w:rsid w:val="51782C50"/>
    <w:rsid w:val="51B626C2"/>
    <w:rsid w:val="53EF5083"/>
    <w:rsid w:val="540A50F6"/>
    <w:rsid w:val="550A4320"/>
    <w:rsid w:val="55EA1BDA"/>
    <w:rsid w:val="59517B3A"/>
    <w:rsid w:val="59E64BBD"/>
    <w:rsid w:val="5B24462F"/>
    <w:rsid w:val="5B354C1D"/>
    <w:rsid w:val="5EE83F75"/>
    <w:rsid w:val="5F2A3011"/>
    <w:rsid w:val="606566F6"/>
    <w:rsid w:val="63CB11E3"/>
    <w:rsid w:val="660A6A63"/>
    <w:rsid w:val="66F22670"/>
    <w:rsid w:val="686C31F6"/>
    <w:rsid w:val="68F56898"/>
    <w:rsid w:val="69C40A74"/>
    <w:rsid w:val="6D7B7708"/>
    <w:rsid w:val="70234FC8"/>
    <w:rsid w:val="70661D6E"/>
    <w:rsid w:val="70D93B2B"/>
    <w:rsid w:val="71891280"/>
    <w:rsid w:val="72CA2CCE"/>
    <w:rsid w:val="72E41C85"/>
    <w:rsid w:val="75B00123"/>
    <w:rsid w:val="768D208F"/>
    <w:rsid w:val="78F733F3"/>
    <w:rsid w:val="790B6B31"/>
    <w:rsid w:val="7B9448E3"/>
    <w:rsid w:val="7CCB5E2F"/>
    <w:rsid w:val="7CD15D96"/>
    <w:rsid w:val="7D152A09"/>
    <w:rsid w:val="7F545331"/>
    <w:rsid w:val="7FEB11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qFormat="1" w:uiPriority="0" w:semiHidden="0"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55"/>
    <w:qFormat/>
    <w:uiPriority w:val="0"/>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56"/>
    <w:qFormat/>
    <w:uiPriority w:val="9"/>
    <w:pPr>
      <w:keepNext/>
      <w:keepLines/>
      <w:numPr>
        <w:ilvl w:val="1"/>
        <w:numId w:val="1"/>
      </w:numPr>
      <w:tabs>
        <w:tab w:val="left" w:pos="360"/>
      </w:tabs>
      <w:spacing w:before="40"/>
      <w:ind w:left="0" w:firstLine="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57"/>
    <w:qFormat/>
    <w:uiPriority w:val="0"/>
    <w:pPr>
      <w:keepNext/>
      <w:keepLines/>
      <w:numPr>
        <w:ilvl w:val="2"/>
        <w:numId w:val="1"/>
      </w:numPr>
      <w:tabs>
        <w:tab w:val="left" w:pos="360"/>
      </w:tabs>
      <w:spacing w:before="40"/>
      <w:ind w:left="720" w:hanging="432"/>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58"/>
    <w:qFormat/>
    <w:uiPriority w:val="0"/>
    <w:pPr>
      <w:keepNext/>
      <w:keepLines/>
      <w:numPr>
        <w:ilvl w:val="3"/>
        <w:numId w:val="1"/>
      </w:numPr>
      <w:tabs>
        <w:tab w:val="left" w:pos="360"/>
      </w:tabs>
      <w:spacing w:before="40"/>
      <w:ind w:left="864" w:hanging="144"/>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59"/>
    <w:qFormat/>
    <w:uiPriority w:val="0"/>
    <w:pPr>
      <w:keepNext/>
      <w:keepLines/>
      <w:numPr>
        <w:ilvl w:val="4"/>
        <w:numId w:val="1"/>
      </w:numPr>
      <w:tabs>
        <w:tab w:val="left" w:pos="360"/>
      </w:tabs>
      <w:spacing w:before="40"/>
      <w:ind w:left="1008" w:hanging="432"/>
      <w:outlineLvl w:val="4"/>
    </w:pPr>
    <w:rPr>
      <w:rFonts w:asciiTheme="majorHAnsi" w:hAnsiTheme="majorHAnsi" w:eastAsiaTheme="majorEastAsia" w:cstheme="majorBidi"/>
      <w:color w:val="2E75B6" w:themeColor="accent1" w:themeShade="BF"/>
    </w:rPr>
  </w:style>
  <w:style w:type="paragraph" w:styleId="7">
    <w:name w:val="heading 6"/>
    <w:basedOn w:val="1"/>
    <w:next w:val="1"/>
    <w:link w:val="60"/>
    <w:qFormat/>
    <w:uiPriority w:val="0"/>
    <w:pPr>
      <w:keepNext/>
      <w:keepLines/>
      <w:numPr>
        <w:ilvl w:val="5"/>
        <w:numId w:val="1"/>
      </w:numPr>
      <w:tabs>
        <w:tab w:val="left" w:pos="360"/>
      </w:tabs>
      <w:spacing w:before="40"/>
      <w:ind w:left="1152" w:hanging="432"/>
      <w:outlineLvl w:val="5"/>
    </w:pPr>
    <w:rPr>
      <w:rFonts w:asciiTheme="majorHAnsi" w:hAnsiTheme="majorHAnsi" w:eastAsiaTheme="majorEastAsia" w:cstheme="majorBidi"/>
      <w:color w:val="1F4E79" w:themeColor="accent1" w:themeShade="80"/>
    </w:rPr>
  </w:style>
  <w:style w:type="paragraph" w:styleId="8">
    <w:name w:val="heading 7"/>
    <w:basedOn w:val="1"/>
    <w:next w:val="1"/>
    <w:link w:val="61"/>
    <w:qFormat/>
    <w:uiPriority w:val="0"/>
    <w:pPr>
      <w:keepNext/>
      <w:keepLines/>
      <w:numPr>
        <w:ilvl w:val="6"/>
        <w:numId w:val="1"/>
      </w:numPr>
      <w:tabs>
        <w:tab w:val="left" w:pos="360"/>
      </w:tabs>
      <w:spacing w:before="40"/>
      <w:ind w:left="1296" w:hanging="288"/>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62"/>
    <w:qFormat/>
    <w:uiPriority w:val="0"/>
    <w:pPr>
      <w:keepNext/>
      <w:keepLines/>
      <w:numPr>
        <w:ilvl w:val="7"/>
        <w:numId w:val="1"/>
      </w:numPr>
      <w:tabs>
        <w:tab w:val="left" w:pos="360"/>
      </w:tabs>
      <w:spacing w:before="40"/>
      <w:ind w:left="1440" w:hanging="432"/>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63"/>
    <w:qFormat/>
    <w:uiPriority w:val="0"/>
    <w:pPr>
      <w:keepNext/>
      <w:keepLines/>
      <w:numPr>
        <w:ilvl w:val="8"/>
        <w:numId w:val="1"/>
      </w:numPr>
      <w:tabs>
        <w:tab w:val="left" w:pos="360"/>
      </w:tabs>
      <w:spacing w:before="40"/>
      <w:ind w:left="1584" w:hanging="144"/>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llowedHyperlink"/>
    <w:qFormat/>
    <w:uiPriority w:val="99"/>
    <w:rPr>
      <w:color w:val="800080"/>
      <w:u w:val="single"/>
    </w:rPr>
  </w:style>
  <w:style w:type="character" w:styleId="14">
    <w:name w:val="footnote reference"/>
    <w:basedOn w:val="11"/>
    <w:qFormat/>
    <w:uiPriority w:val="0"/>
    <w:rPr>
      <w:vertAlign w:val="superscript"/>
    </w:rPr>
  </w:style>
  <w:style w:type="character" w:styleId="15">
    <w:name w:val="annotation reference"/>
    <w:qFormat/>
    <w:uiPriority w:val="99"/>
    <w:rPr>
      <w:sz w:val="16"/>
      <w:szCs w:val="16"/>
    </w:rPr>
  </w:style>
  <w:style w:type="character" w:styleId="16">
    <w:name w:val="endnote reference"/>
    <w:qFormat/>
    <w:uiPriority w:val="99"/>
    <w:rPr>
      <w:vertAlign w:val="superscript"/>
    </w:rPr>
  </w:style>
  <w:style w:type="character" w:styleId="17">
    <w:name w:val="Emphasis"/>
    <w:qFormat/>
    <w:uiPriority w:val="20"/>
    <w:rPr>
      <w:i/>
      <w:iCs/>
    </w:rPr>
  </w:style>
  <w:style w:type="character" w:styleId="18">
    <w:name w:val="Hyperlink"/>
    <w:qFormat/>
    <w:uiPriority w:val="99"/>
    <w:rPr>
      <w:color w:val="0000FF"/>
      <w:u w:val="single"/>
    </w:rPr>
  </w:style>
  <w:style w:type="character" w:styleId="19">
    <w:name w:val="page number"/>
    <w:basedOn w:val="11"/>
    <w:qFormat/>
    <w:uiPriority w:val="0"/>
  </w:style>
  <w:style w:type="character" w:styleId="20">
    <w:name w:val="HTML Typewriter"/>
    <w:unhideWhenUsed/>
    <w:qFormat/>
    <w:uiPriority w:val="0"/>
    <w:rPr>
      <w:rFonts w:ascii="Courier New" w:hAnsi="Courier New" w:eastAsia="Times New Roman" w:cs="Courier New"/>
      <w:sz w:val="20"/>
      <w:szCs w:val="20"/>
    </w:rPr>
  </w:style>
  <w:style w:type="character" w:styleId="21">
    <w:name w:val="Strong"/>
    <w:qFormat/>
    <w:uiPriority w:val="22"/>
    <w:rPr>
      <w:b/>
      <w:bCs/>
    </w:rPr>
  </w:style>
  <w:style w:type="paragraph" w:styleId="22">
    <w:name w:val="Balloon Text"/>
    <w:basedOn w:val="1"/>
    <w:link w:val="92"/>
    <w:semiHidden/>
    <w:qFormat/>
    <w:uiPriority w:val="99"/>
    <w:rPr>
      <w:rFonts w:ascii="Tahoma" w:hAnsi="Tahoma"/>
      <w:sz w:val="16"/>
      <w:szCs w:val="16"/>
    </w:rPr>
  </w:style>
  <w:style w:type="paragraph" w:styleId="23">
    <w:name w:val="Body Text 2"/>
    <w:basedOn w:val="1"/>
    <w:link w:val="78"/>
    <w:qFormat/>
    <w:uiPriority w:val="0"/>
    <w:pPr>
      <w:widowControl w:val="0"/>
      <w:autoSpaceDE w:val="0"/>
      <w:autoSpaceDN w:val="0"/>
      <w:adjustRightInd w:val="0"/>
      <w:jc w:val="both"/>
    </w:pPr>
    <w:rPr>
      <w:i/>
      <w:sz w:val="22"/>
      <w:lang w:val="en-US"/>
    </w:rPr>
  </w:style>
  <w:style w:type="paragraph" w:styleId="24">
    <w:name w:val="Plain Text"/>
    <w:basedOn w:val="1"/>
    <w:link w:val="109"/>
    <w:qFormat/>
    <w:uiPriority w:val="0"/>
    <w:rPr>
      <w:rFonts w:ascii="Courier New" w:hAnsi="Courier New"/>
      <w:szCs w:val="24"/>
    </w:rPr>
  </w:style>
  <w:style w:type="paragraph" w:styleId="25">
    <w:name w:val="Body Text Indent 3"/>
    <w:basedOn w:val="1"/>
    <w:link w:val="66"/>
    <w:qFormat/>
    <w:uiPriority w:val="0"/>
    <w:pPr>
      <w:tabs>
        <w:tab w:val="left" w:pos="0"/>
        <w:tab w:val="left" w:pos="1418"/>
      </w:tabs>
      <w:suppressAutoHyphens/>
      <w:ind w:firstLine="709"/>
      <w:jc w:val="both"/>
    </w:pPr>
    <w:rPr>
      <w:sz w:val="24"/>
    </w:rPr>
  </w:style>
  <w:style w:type="paragraph" w:styleId="26">
    <w:name w:val="endnote text"/>
    <w:basedOn w:val="1"/>
    <w:link w:val="167"/>
    <w:qFormat/>
    <w:uiPriority w:val="99"/>
  </w:style>
  <w:style w:type="paragraph" w:styleId="27">
    <w:name w:val="caption"/>
    <w:basedOn w:val="1"/>
    <w:next w:val="1"/>
    <w:qFormat/>
    <w:uiPriority w:val="0"/>
    <w:pPr>
      <w:keepNext/>
      <w:ind w:firstLine="567"/>
      <w:jc w:val="both"/>
    </w:pPr>
    <w:rPr>
      <w:b/>
    </w:rPr>
  </w:style>
  <w:style w:type="paragraph" w:styleId="28">
    <w:name w:val="annotation text"/>
    <w:basedOn w:val="1"/>
    <w:link w:val="119"/>
    <w:qFormat/>
    <w:uiPriority w:val="99"/>
    <w:pPr>
      <w:suppressAutoHyphens/>
    </w:pPr>
    <w:rPr>
      <w:lang w:eastAsia="ar-SA"/>
    </w:rPr>
  </w:style>
  <w:style w:type="paragraph" w:styleId="29">
    <w:name w:val="annotation subject"/>
    <w:basedOn w:val="28"/>
    <w:next w:val="28"/>
    <w:link w:val="120"/>
    <w:semiHidden/>
    <w:qFormat/>
    <w:uiPriority w:val="99"/>
    <w:pPr>
      <w:suppressAutoHyphens w:val="0"/>
    </w:pPr>
    <w:rPr>
      <w:b/>
      <w:bCs/>
    </w:rPr>
  </w:style>
  <w:style w:type="paragraph" w:styleId="30">
    <w:name w:val="Document Map"/>
    <w:basedOn w:val="1"/>
    <w:link w:val="81"/>
    <w:semiHidden/>
    <w:qFormat/>
    <w:uiPriority w:val="0"/>
    <w:pPr>
      <w:shd w:val="clear" w:color="auto" w:fill="000080"/>
    </w:pPr>
    <w:rPr>
      <w:rFonts w:ascii="Tahoma" w:hAnsi="Tahoma"/>
    </w:rPr>
  </w:style>
  <w:style w:type="paragraph" w:styleId="31">
    <w:name w:val="footnote text"/>
    <w:basedOn w:val="1"/>
    <w:link w:val="110"/>
    <w:qFormat/>
    <w:uiPriority w:val="99"/>
    <w:pPr>
      <w:widowControl w:val="0"/>
    </w:pPr>
    <w:rPr>
      <w:rFonts w:ascii="Gelvetsky 12pt" w:hAnsi="Gelvetsky 12pt"/>
      <w:sz w:val="24"/>
      <w:lang w:val="en-US"/>
    </w:rPr>
  </w:style>
  <w:style w:type="paragraph" w:styleId="32">
    <w:name w:val="header"/>
    <w:basedOn w:val="1"/>
    <w:link w:val="67"/>
    <w:qFormat/>
    <w:uiPriority w:val="99"/>
    <w:pPr>
      <w:tabs>
        <w:tab w:val="center" w:pos="4536"/>
        <w:tab w:val="right" w:pos="9072"/>
      </w:tabs>
    </w:pPr>
  </w:style>
  <w:style w:type="paragraph" w:styleId="33">
    <w:name w:val="Body Text"/>
    <w:basedOn w:val="1"/>
    <w:link w:val="118"/>
    <w:qFormat/>
    <w:uiPriority w:val="0"/>
    <w:pPr>
      <w:jc w:val="center"/>
    </w:pPr>
  </w:style>
  <w:style w:type="paragraph" w:styleId="34">
    <w:name w:val="toc 1"/>
    <w:basedOn w:val="1"/>
    <w:next w:val="1"/>
    <w:qFormat/>
    <w:uiPriority w:val="0"/>
    <w:pPr>
      <w:tabs>
        <w:tab w:val="left" w:pos="1276"/>
        <w:tab w:val="left" w:pos="1400"/>
        <w:tab w:val="left" w:pos="1560"/>
        <w:tab w:val="right" w:leader="dot" w:pos="9678"/>
      </w:tabs>
      <w:spacing w:before="120" w:after="120"/>
    </w:pPr>
    <w:rPr>
      <w:b/>
      <w:caps/>
      <w:sz w:val="24"/>
    </w:rPr>
  </w:style>
  <w:style w:type="paragraph" w:styleId="35">
    <w:name w:val="toc 3"/>
    <w:basedOn w:val="1"/>
    <w:next w:val="1"/>
    <w:qFormat/>
    <w:uiPriority w:val="0"/>
    <w:pPr>
      <w:tabs>
        <w:tab w:val="left" w:pos="960"/>
        <w:tab w:val="left" w:pos="1418"/>
        <w:tab w:val="right" w:leader="dot" w:pos="9639"/>
      </w:tabs>
      <w:ind w:left="480"/>
    </w:pPr>
    <w:rPr>
      <w:b/>
      <w:sz w:val="24"/>
    </w:rPr>
  </w:style>
  <w:style w:type="paragraph" w:styleId="36">
    <w:name w:val="toc 2"/>
    <w:basedOn w:val="1"/>
    <w:next w:val="1"/>
    <w:qFormat/>
    <w:uiPriority w:val="0"/>
    <w:pPr>
      <w:tabs>
        <w:tab w:val="left" w:pos="567"/>
        <w:tab w:val="left" w:pos="800"/>
        <w:tab w:val="right" w:leader="dot" w:pos="9639"/>
      </w:tabs>
      <w:ind w:left="240"/>
    </w:pPr>
    <w:rPr>
      <w:b/>
      <w:smallCaps/>
      <w:sz w:val="24"/>
      <w:szCs w:val="24"/>
    </w:rPr>
  </w:style>
  <w:style w:type="paragraph" w:styleId="37">
    <w:name w:val="Date"/>
    <w:basedOn w:val="1"/>
    <w:next w:val="1"/>
    <w:link w:val="79"/>
    <w:qFormat/>
    <w:uiPriority w:val="0"/>
    <w:pPr>
      <w:jc w:val="both"/>
    </w:pPr>
  </w:style>
  <w:style w:type="paragraph" w:styleId="38">
    <w:name w:val="Body Text Indent"/>
    <w:basedOn w:val="1"/>
    <w:link w:val="64"/>
    <w:qFormat/>
    <w:uiPriority w:val="0"/>
    <w:pPr>
      <w:ind w:firstLine="567"/>
      <w:jc w:val="both"/>
    </w:pPr>
    <w:rPr>
      <w:spacing w:val="-4"/>
    </w:rPr>
  </w:style>
  <w:style w:type="paragraph" w:styleId="39">
    <w:name w:val="List Bullet"/>
    <w:basedOn w:val="1"/>
    <w:qFormat/>
    <w:uiPriority w:val="0"/>
    <w:pPr>
      <w:jc w:val="both"/>
    </w:pPr>
  </w:style>
  <w:style w:type="paragraph" w:styleId="40">
    <w:name w:val="List Bullet 3"/>
    <w:basedOn w:val="39"/>
    <w:qFormat/>
    <w:uiPriority w:val="0"/>
    <w:pPr>
      <w:ind w:left="1440"/>
    </w:pPr>
  </w:style>
  <w:style w:type="paragraph" w:styleId="41">
    <w:name w:val="Title"/>
    <w:basedOn w:val="1"/>
    <w:link w:val="86"/>
    <w:qFormat/>
    <w:uiPriority w:val="99"/>
    <w:pPr>
      <w:widowControl w:val="0"/>
      <w:autoSpaceDE w:val="0"/>
      <w:autoSpaceDN w:val="0"/>
      <w:adjustRightInd w:val="0"/>
      <w:jc w:val="center"/>
    </w:pPr>
    <w:rPr>
      <w:sz w:val="28"/>
    </w:rPr>
  </w:style>
  <w:style w:type="paragraph" w:styleId="42">
    <w:name w:val="footer"/>
    <w:basedOn w:val="1"/>
    <w:link w:val="84"/>
    <w:qFormat/>
    <w:uiPriority w:val="99"/>
    <w:pPr>
      <w:tabs>
        <w:tab w:val="center" w:pos="4153"/>
        <w:tab w:val="right" w:pos="8306"/>
      </w:tabs>
    </w:pPr>
  </w:style>
  <w:style w:type="paragraph" w:styleId="43">
    <w:name w:val="List Number 2"/>
    <w:basedOn w:val="1"/>
    <w:qFormat/>
    <w:uiPriority w:val="0"/>
    <w:pPr>
      <w:tabs>
        <w:tab w:val="left" w:pos="360"/>
      </w:tabs>
      <w:spacing w:after="60"/>
      <w:ind w:left="360" w:hanging="360"/>
      <w:jc w:val="both"/>
    </w:pPr>
    <w:rPr>
      <w:sz w:val="24"/>
      <w:szCs w:val="24"/>
    </w:rPr>
  </w:style>
  <w:style w:type="paragraph" w:styleId="44">
    <w:name w:val="List"/>
    <w:basedOn w:val="1"/>
    <w:qFormat/>
    <w:uiPriority w:val="0"/>
    <w:pPr>
      <w:numPr>
        <w:ilvl w:val="1"/>
        <w:numId w:val="2"/>
      </w:numPr>
      <w:tabs>
        <w:tab w:val="clear" w:pos="720"/>
      </w:tabs>
      <w:spacing w:after="60"/>
      <w:ind w:left="283" w:hanging="283"/>
      <w:jc w:val="both"/>
    </w:pPr>
    <w:rPr>
      <w:sz w:val="24"/>
      <w:szCs w:val="24"/>
    </w:rPr>
  </w:style>
  <w:style w:type="paragraph" w:styleId="45">
    <w:name w:val="Normal (Web)"/>
    <w:basedOn w:val="1"/>
    <w:qFormat/>
    <w:uiPriority w:val="99"/>
    <w:pPr>
      <w:spacing w:before="100" w:after="100"/>
    </w:pPr>
    <w:rPr>
      <w:rFonts w:ascii="Arial Unicode MS" w:hAnsi="Arial Unicode MS" w:eastAsia="Arial Unicode MS"/>
      <w:sz w:val="24"/>
      <w:szCs w:val="24"/>
    </w:rPr>
  </w:style>
  <w:style w:type="paragraph" w:styleId="46">
    <w:name w:val="Body Text 3"/>
    <w:basedOn w:val="1"/>
    <w:link w:val="77"/>
    <w:qFormat/>
    <w:uiPriority w:val="0"/>
    <w:pPr>
      <w:widowControl w:val="0"/>
      <w:autoSpaceDE w:val="0"/>
      <w:autoSpaceDN w:val="0"/>
      <w:adjustRightInd w:val="0"/>
      <w:jc w:val="both"/>
    </w:pPr>
    <w:rPr>
      <w:color w:val="FF0000"/>
      <w:sz w:val="22"/>
    </w:rPr>
  </w:style>
  <w:style w:type="paragraph" w:styleId="47">
    <w:name w:val="Body Text Indent 2"/>
    <w:basedOn w:val="1"/>
    <w:link w:val="65"/>
    <w:qFormat/>
    <w:uiPriority w:val="0"/>
    <w:pPr>
      <w:tabs>
        <w:tab w:val="left" w:pos="0"/>
      </w:tabs>
      <w:suppressAutoHyphens/>
      <w:ind w:firstLine="567"/>
      <w:jc w:val="both"/>
    </w:pPr>
    <w:rPr>
      <w:sz w:val="24"/>
    </w:rPr>
  </w:style>
  <w:style w:type="paragraph" w:styleId="48">
    <w:name w:val="Subtitle"/>
    <w:basedOn w:val="1"/>
    <w:link w:val="108"/>
    <w:qFormat/>
    <w:uiPriority w:val="0"/>
    <w:pPr>
      <w:spacing w:after="60"/>
      <w:jc w:val="center"/>
      <w:outlineLvl w:val="1"/>
    </w:pPr>
    <w:rPr>
      <w:rFonts w:ascii="Arial" w:hAnsi="Arial"/>
      <w:sz w:val="24"/>
      <w:szCs w:val="24"/>
    </w:rPr>
  </w:style>
  <w:style w:type="paragraph" w:styleId="49">
    <w:name w:val="List Continue 2"/>
    <w:basedOn w:val="1"/>
    <w:qFormat/>
    <w:uiPriority w:val="0"/>
    <w:pPr>
      <w:widowControl w:val="0"/>
      <w:autoSpaceDE w:val="0"/>
      <w:autoSpaceDN w:val="0"/>
      <w:adjustRightInd w:val="0"/>
      <w:spacing w:after="120"/>
      <w:ind w:left="566"/>
    </w:pPr>
    <w:rPr>
      <w:b/>
    </w:rPr>
  </w:style>
  <w:style w:type="paragraph" w:styleId="50">
    <w:name w:val="List 2"/>
    <w:basedOn w:val="1"/>
    <w:qFormat/>
    <w:uiPriority w:val="0"/>
    <w:pPr>
      <w:widowControl w:val="0"/>
      <w:autoSpaceDE w:val="0"/>
      <w:autoSpaceDN w:val="0"/>
      <w:adjustRightInd w:val="0"/>
      <w:ind w:left="566" w:hanging="283"/>
    </w:pPr>
    <w:rPr>
      <w:b/>
    </w:rPr>
  </w:style>
  <w:style w:type="paragraph" w:styleId="51">
    <w:name w:val="List 3"/>
    <w:basedOn w:val="1"/>
    <w:qFormat/>
    <w:uiPriority w:val="0"/>
    <w:pPr>
      <w:widowControl w:val="0"/>
      <w:autoSpaceDE w:val="0"/>
      <w:autoSpaceDN w:val="0"/>
      <w:adjustRightInd w:val="0"/>
      <w:ind w:left="849" w:hanging="283"/>
    </w:pPr>
    <w:rPr>
      <w:b/>
    </w:rPr>
  </w:style>
  <w:style w:type="paragraph" w:styleId="52">
    <w:name w:val="HTML Preformatted"/>
    <w:basedOn w:val="1"/>
    <w:link w:val="13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olor w:val="000000"/>
    </w:rPr>
  </w:style>
  <w:style w:type="paragraph" w:styleId="53">
    <w:name w:val="Block Text"/>
    <w:basedOn w:val="1"/>
    <w:qFormat/>
    <w:uiPriority w:val="0"/>
    <w:pPr>
      <w:ind w:left="-142" w:right="-285" w:firstLine="284"/>
      <w:jc w:val="both"/>
    </w:pPr>
    <w:rPr>
      <w:sz w:val="28"/>
    </w:rPr>
  </w:style>
  <w:style w:type="table" w:styleId="54">
    <w:name w:val="Table Grid"/>
    <w:basedOn w:val="12"/>
    <w:qFormat/>
    <w:uiPriority w:val="3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
    <w:name w:val="Заголовок 1 Знак"/>
    <w:basedOn w:val="11"/>
    <w:link w:val="2"/>
    <w:qFormat/>
    <w:uiPriority w:val="0"/>
    <w:rPr>
      <w:rFonts w:asciiTheme="majorHAnsi" w:hAnsiTheme="majorHAnsi" w:eastAsiaTheme="majorEastAsia" w:cstheme="majorBidi"/>
      <w:color w:val="2E75B6" w:themeColor="accent1" w:themeShade="BF"/>
      <w:sz w:val="32"/>
      <w:szCs w:val="32"/>
      <w:lang w:eastAsia="ru-RU"/>
    </w:rPr>
  </w:style>
  <w:style w:type="character" w:customStyle="1" w:styleId="56">
    <w:name w:val="Заголовок 2 Знак"/>
    <w:basedOn w:val="11"/>
    <w:link w:val="3"/>
    <w:qFormat/>
    <w:uiPriority w:val="9"/>
    <w:rPr>
      <w:rFonts w:asciiTheme="majorHAnsi" w:hAnsiTheme="majorHAnsi" w:eastAsiaTheme="majorEastAsia" w:cstheme="majorBidi"/>
      <w:color w:val="2E75B6" w:themeColor="accent1" w:themeShade="BF"/>
      <w:sz w:val="26"/>
      <w:szCs w:val="26"/>
      <w:lang w:eastAsia="ru-RU"/>
    </w:rPr>
  </w:style>
  <w:style w:type="character" w:customStyle="1" w:styleId="57">
    <w:name w:val="Заголовок 3 Знак"/>
    <w:basedOn w:val="11"/>
    <w:link w:val="4"/>
    <w:qFormat/>
    <w:uiPriority w:val="0"/>
    <w:rPr>
      <w:rFonts w:asciiTheme="majorHAnsi" w:hAnsiTheme="majorHAnsi" w:eastAsiaTheme="majorEastAsia" w:cstheme="majorBidi"/>
      <w:color w:val="1F4E79" w:themeColor="accent1" w:themeShade="80"/>
      <w:sz w:val="24"/>
      <w:szCs w:val="24"/>
      <w:lang w:eastAsia="ru-RU"/>
    </w:rPr>
  </w:style>
  <w:style w:type="character" w:customStyle="1" w:styleId="58">
    <w:name w:val="Заголовок 4 Знак"/>
    <w:basedOn w:val="11"/>
    <w:link w:val="5"/>
    <w:qFormat/>
    <w:uiPriority w:val="0"/>
    <w:rPr>
      <w:rFonts w:asciiTheme="majorHAnsi" w:hAnsiTheme="majorHAnsi" w:eastAsiaTheme="majorEastAsia" w:cstheme="majorBidi"/>
      <w:i/>
      <w:iCs/>
      <w:color w:val="2E75B6" w:themeColor="accent1" w:themeShade="BF"/>
      <w:sz w:val="20"/>
      <w:szCs w:val="20"/>
      <w:lang w:eastAsia="ru-RU"/>
    </w:rPr>
  </w:style>
  <w:style w:type="character" w:customStyle="1" w:styleId="59">
    <w:name w:val="Заголовок 5 Знак"/>
    <w:basedOn w:val="11"/>
    <w:link w:val="6"/>
    <w:qFormat/>
    <w:uiPriority w:val="0"/>
    <w:rPr>
      <w:rFonts w:asciiTheme="majorHAnsi" w:hAnsiTheme="majorHAnsi" w:eastAsiaTheme="majorEastAsia" w:cstheme="majorBidi"/>
      <w:color w:val="2E75B6" w:themeColor="accent1" w:themeShade="BF"/>
      <w:sz w:val="20"/>
      <w:szCs w:val="20"/>
      <w:lang w:eastAsia="ru-RU"/>
    </w:rPr>
  </w:style>
  <w:style w:type="character" w:customStyle="1" w:styleId="60">
    <w:name w:val="Заголовок 6 Знак"/>
    <w:basedOn w:val="11"/>
    <w:link w:val="7"/>
    <w:qFormat/>
    <w:uiPriority w:val="0"/>
    <w:rPr>
      <w:rFonts w:asciiTheme="majorHAnsi" w:hAnsiTheme="majorHAnsi" w:eastAsiaTheme="majorEastAsia" w:cstheme="majorBidi"/>
      <w:color w:val="1F4E79" w:themeColor="accent1" w:themeShade="80"/>
      <w:sz w:val="20"/>
      <w:szCs w:val="20"/>
      <w:lang w:eastAsia="ru-RU"/>
    </w:rPr>
  </w:style>
  <w:style w:type="character" w:customStyle="1" w:styleId="61">
    <w:name w:val="Заголовок 7 Знак"/>
    <w:basedOn w:val="11"/>
    <w:link w:val="8"/>
    <w:qFormat/>
    <w:uiPriority w:val="0"/>
    <w:rPr>
      <w:rFonts w:asciiTheme="majorHAnsi" w:hAnsiTheme="majorHAnsi" w:eastAsiaTheme="majorEastAsia" w:cstheme="majorBidi"/>
      <w:i/>
      <w:iCs/>
      <w:color w:val="1F4E79" w:themeColor="accent1" w:themeShade="80"/>
      <w:sz w:val="20"/>
      <w:szCs w:val="20"/>
      <w:lang w:eastAsia="ru-RU"/>
    </w:rPr>
  </w:style>
  <w:style w:type="character" w:customStyle="1" w:styleId="62">
    <w:name w:val="Заголовок 8 Знак"/>
    <w:basedOn w:val="11"/>
    <w:link w:val="9"/>
    <w:qFormat/>
    <w:uiPriority w:val="0"/>
    <w:rPr>
      <w:rFonts w:asciiTheme="majorHAnsi" w:hAnsiTheme="majorHAnsi" w:eastAsiaTheme="majorEastAsia" w:cstheme="majorBidi"/>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3">
    <w:name w:val="Заголовок 9 Знак"/>
    <w:basedOn w:val="11"/>
    <w:link w:val="10"/>
    <w:qFormat/>
    <w:uiPriority w:val="0"/>
    <w:rPr>
      <w:rFonts w:asciiTheme="majorHAnsi" w:hAnsiTheme="majorHAnsi" w:eastAsiaTheme="majorEastAsia" w:cstheme="majorBidi"/>
      <w:i/>
      <w:iCs/>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4">
    <w:name w:val="Основной текст с отступом Знак"/>
    <w:basedOn w:val="11"/>
    <w:link w:val="38"/>
    <w:qFormat/>
    <w:uiPriority w:val="0"/>
    <w:rPr>
      <w:rFonts w:ascii="Times New Roman" w:hAnsi="Times New Roman" w:eastAsia="Times New Roman" w:cs="Times New Roman"/>
      <w:spacing w:val="-4"/>
      <w:sz w:val="20"/>
      <w:szCs w:val="20"/>
      <w:lang w:eastAsia="ru-RU"/>
    </w:rPr>
  </w:style>
  <w:style w:type="character" w:customStyle="1" w:styleId="65">
    <w:name w:val="Основной текст с отступом 2 Знак"/>
    <w:basedOn w:val="11"/>
    <w:link w:val="47"/>
    <w:qFormat/>
    <w:uiPriority w:val="0"/>
    <w:rPr>
      <w:rFonts w:ascii="Times New Roman" w:hAnsi="Times New Roman" w:eastAsia="Times New Roman" w:cs="Times New Roman"/>
      <w:sz w:val="24"/>
      <w:szCs w:val="20"/>
      <w:lang w:eastAsia="ru-RU"/>
    </w:rPr>
  </w:style>
  <w:style w:type="character" w:customStyle="1" w:styleId="66">
    <w:name w:val="Основной текст с отступом 3 Знак"/>
    <w:basedOn w:val="11"/>
    <w:link w:val="25"/>
    <w:qFormat/>
    <w:uiPriority w:val="0"/>
    <w:rPr>
      <w:rFonts w:ascii="Times New Roman" w:hAnsi="Times New Roman" w:eastAsia="Times New Roman" w:cs="Times New Roman"/>
      <w:sz w:val="24"/>
      <w:szCs w:val="20"/>
      <w:lang w:eastAsia="ru-RU"/>
    </w:rPr>
  </w:style>
  <w:style w:type="character" w:customStyle="1" w:styleId="67">
    <w:name w:val="Верхний колонтитул Знак"/>
    <w:basedOn w:val="11"/>
    <w:link w:val="32"/>
    <w:qFormat/>
    <w:uiPriority w:val="99"/>
    <w:rPr>
      <w:rFonts w:ascii="Times New Roman" w:hAnsi="Times New Roman" w:eastAsia="Times New Roman" w:cs="Times New Roman"/>
      <w:sz w:val="20"/>
      <w:szCs w:val="20"/>
      <w:lang w:eastAsia="ru-RU"/>
    </w:rPr>
  </w:style>
  <w:style w:type="paragraph" w:customStyle="1" w:styleId="68">
    <w:name w:val="FR2"/>
    <w:qFormat/>
    <w:uiPriority w:val="99"/>
    <w:pPr>
      <w:widowControl w:val="0"/>
      <w:ind w:firstLine="280"/>
      <w:jc w:val="both"/>
    </w:pPr>
    <w:rPr>
      <w:rFonts w:ascii="Times New Roman" w:hAnsi="Times New Roman" w:eastAsia="Times New Roman" w:cs="Times New Roman"/>
      <w:snapToGrid w:val="0"/>
      <w:lang w:val="ru-RU" w:eastAsia="ru-RU" w:bidi="ar-SA"/>
    </w:rPr>
  </w:style>
  <w:style w:type="paragraph" w:customStyle="1" w:styleId="69">
    <w:name w:val="Обычный1"/>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paragraph" w:customStyle="1" w:styleId="70">
    <w:name w:val="Iau?iue"/>
    <w:qFormat/>
    <w:uiPriority w:val="0"/>
    <w:rPr>
      <w:rFonts w:ascii="Times New Roman" w:hAnsi="Times New Roman" w:eastAsia="Times New Roman" w:cs="Times New Roman"/>
      <w:lang w:val="en-US" w:eastAsia="ru-RU" w:bidi="ar-SA"/>
    </w:rPr>
  </w:style>
  <w:style w:type="paragraph" w:customStyle="1" w:styleId="71">
    <w:name w:val="left"/>
    <w:qFormat/>
    <w:uiPriority w:val="0"/>
    <w:rPr>
      <w:rFonts w:ascii="Courier New" w:hAnsi="Courier New" w:eastAsia="Times New Roman" w:cs="Times New Roman"/>
      <w:b/>
      <w:lang w:val="ru-RU" w:eastAsia="ru-RU" w:bidi="ar-SA"/>
    </w:rPr>
  </w:style>
  <w:style w:type="character" w:customStyle="1" w:styleId="72">
    <w:name w:val="Основной текст Знак"/>
    <w:basedOn w:val="11"/>
    <w:semiHidden/>
    <w:qFormat/>
    <w:uiPriority w:val="99"/>
    <w:rPr>
      <w:rFonts w:ascii="Times New Roman" w:hAnsi="Times New Roman" w:eastAsia="Times New Roman" w:cs="Times New Roman"/>
      <w:sz w:val="20"/>
      <w:szCs w:val="20"/>
      <w:lang w:eastAsia="ru-RU"/>
    </w:rPr>
  </w:style>
  <w:style w:type="paragraph" w:customStyle="1" w:styleId="73">
    <w:name w:val="ConsNormal"/>
    <w:link w:val="310"/>
    <w:qFormat/>
    <w:uiPriority w:val="0"/>
    <w:pPr>
      <w:widowControl w:val="0"/>
      <w:ind w:firstLine="720"/>
    </w:pPr>
    <w:rPr>
      <w:rFonts w:ascii="Consultant" w:hAnsi="Consultant" w:eastAsia="Times New Roman" w:cs="Times New Roman"/>
      <w:snapToGrid w:val="0"/>
      <w:lang w:val="ru-RU" w:eastAsia="ru-RU" w:bidi="ar-SA"/>
    </w:rPr>
  </w:style>
  <w:style w:type="paragraph" w:customStyle="1" w:styleId="74">
    <w:name w:val="ConsNonformat"/>
    <w:qFormat/>
    <w:uiPriority w:val="0"/>
    <w:pPr>
      <w:widowControl w:val="0"/>
    </w:pPr>
    <w:rPr>
      <w:rFonts w:ascii="Consultant" w:hAnsi="Consultant" w:eastAsia="Times New Roman" w:cs="Times New Roman"/>
      <w:snapToGrid w:val="0"/>
      <w:lang w:val="ru-RU" w:eastAsia="ru-RU" w:bidi="ar-SA"/>
    </w:rPr>
  </w:style>
  <w:style w:type="paragraph" w:customStyle="1" w:styleId="75">
    <w:name w:val="ConsCell"/>
    <w:qFormat/>
    <w:uiPriority w:val="0"/>
    <w:pPr>
      <w:widowControl w:val="0"/>
    </w:pPr>
    <w:rPr>
      <w:rFonts w:ascii="Arial" w:hAnsi="Arial" w:eastAsia="Times New Roman" w:cs="Times New Roman"/>
      <w:snapToGrid w:val="0"/>
      <w:lang w:val="ru-RU" w:eastAsia="ru-RU" w:bidi="ar-SA"/>
    </w:rPr>
  </w:style>
  <w:style w:type="paragraph" w:customStyle="1" w:styleId="76">
    <w:name w:val="текст сноски"/>
    <w:basedOn w:val="1"/>
    <w:qFormat/>
    <w:uiPriority w:val="0"/>
    <w:pPr>
      <w:widowControl w:val="0"/>
    </w:pPr>
    <w:rPr>
      <w:rFonts w:ascii="Gelvetsky 12pt" w:hAnsi="Gelvetsky 12pt"/>
      <w:sz w:val="24"/>
      <w:lang w:val="en-US"/>
    </w:rPr>
  </w:style>
  <w:style w:type="character" w:customStyle="1" w:styleId="77">
    <w:name w:val="Основной текст 3 Знак"/>
    <w:basedOn w:val="11"/>
    <w:link w:val="46"/>
    <w:qFormat/>
    <w:uiPriority w:val="0"/>
    <w:rPr>
      <w:rFonts w:ascii="Times New Roman" w:hAnsi="Times New Roman" w:eastAsia="Times New Roman" w:cs="Times New Roman"/>
      <w:color w:val="FF0000"/>
      <w:szCs w:val="20"/>
      <w:lang w:eastAsia="ru-RU"/>
    </w:rPr>
  </w:style>
  <w:style w:type="character" w:customStyle="1" w:styleId="78">
    <w:name w:val="Основной текст 2 Знак"/>
    <w:basedOn w:val="11"/>
    <w:link w:val="23"/>
    <w:qFormat/>
    <w:uiPriority w:val="0"/>
    <w:rPr>
      <w:rFonts w:ascii="Times New Roman" w:hAnsi="Times New Roman" w:eastAsia="Times New Roman" w:cs="Times New Roman"/>
      <w:i/>
      <w:szCs w:val="20"/>
      <w:lang w:val="en-US" w:eastAsia="ru-RU"/>
    </w:rPr>
  </w:style>
  <w:style w:type="character" w:customStyle="1" w:styleId="79">
    <w:name w:val="Дата Знак"/>
    <w:basedOn w:val="11"/>
    <w:link w:val="37"/>
    <w:qFormat/>
    <w:uiPriority w:val="0"/>
    <w:rPr>
      <w:rFonts w:ascii="Times New Roman" w:hAnsi="Times New Roman" w:eastAsia="Times New Roman" w:cs="Times New Roman"/>
      <w:sz w:val="20"/>
      <w:szCs w:val="20"/>
      <w:lang w:eastAsia="ru-RU"/>
    </w:rPr>
  </w:style>
  <w:style w:type="paragraph" w:customStyle="1" w:styleId="80">
    <w:name w:val="FR1"/>
    <w:qFormat/>
    <w:uiPriority w:val="99"/>
    <w:pPr>
      <w:widowControl w:val="0"/>
      <w:spacing w:before="160" w:line="300" w:lineRule="auto"/>
      <w:jc w:val="center"/>
    </w:pPr>
    <w:rPr>
      <w:rFonts w:ascii="Arial" w:hAnsi="Arial" w:eastAsia="Times New Roman" w:cs="Times New Roman"/>
      <w:snapToGrid w:val="0"/>
      <w:sz w:val="16"/>
      <w:lang w:val="ru-RU" w:eastAsia="ru-RU" w:bidi="ar-SA"/>
    </w:rPr>
  </w:style>
  <w:style w:type="character" w:customStyle="1" w:styleId="81">
    <w:name w:val="Схема документа Знак"/>
    <w:basedOn w:val="11"/>
    <w:link w:val="30"/>
    <w:semiHidden/>
    <w:qFormat/>
    <w:uiPriority w:val="0"/>
    <w:rPr>
      <w:rFonts w:ascii="Tahoma" w:hAnsi="Tahoma" w:eastAsia="Times New Roman" w:cs="Times New Roman"/>
      <w:sz w:val="20"/>
      <w:szCs w:val="20"/>
      <w:shd w:val="clear" w:color="auto" w:fill="000080"/>
      <w:lang w:eastAsia="ru-RU"/>
    </w:rPr>
  </w:style>
  <w:style w:type="paragraph" w:customStyle="1" w:styleId="82">
    <w:name w:val="H2"/>
    <w:basedOn w:val="1"/>
    <w:next w:val="1"/>
    <w:qFormat/>
    <w:uiPriority w:val="0"/>
    <w:pPr>
      <w:keepNext/>
      <w:spacing w:before="100" w:after="100"/>
      <w:outlineLvl w:val="2"/>
    </w:pPr>
    <w:rPr>
      <w:b/>
      <w:snapToGrid w:val="0"/>
      <w:sz w:val="36"/>
    </w:rPr>
  </w:style>
  <w:style w:type="paragraph" w:customStyle="1" w:styleId="83">
    <w:name w:val="заголовок 11"/>
    <w:basedOn w:val="1"/>
    <w:next w:val="1"/>
    <w:qFormat/>
    <w:uiPriority w:val="0"/>
    <w:pPr>
      <w:keepNext/>
      <w:jc w:val="center"/>
    </w:pPr>
    <w:rPr>
      <w:sz w:val="24"/>
    </w:rPr>
  </w:style>
  <w:style w:type="character" w:customStyle="1" w:styleId="84">
    <w:name w:val="Нижний колонтитул Знак"/>
    <w:basedOn w:val="11"/>
    <w:link w:val="42"/>
    <w:qFormat/>
    <w:uiPriority w:val="99"/>
    <w:rPr>
      <w:rFonts w:ascii="Times New Roman" w:hAnsi="Times New Roman" w:eastAsia="Times New Roman" w:cs="Times New Roman"/>
      <w:sz w:val="20"/>
      <w:szCs w:val="20"/>
      <w:lang w:eastAsia="ru-RU"/>
    </w:rPr>
  </w:style>
  <w:style w:type="paragraph" w:customStyle="1" w:styleId="85">
    <w:name w:val="Основной текст 31"/>
    <w:basedOn w:val="1"/>
    <w:qFormat/>
    <w:uiPriority w:val="0"/>
    <w:pPr>
      <w:spacing w:line="220" w:lineRule="auto"/>
      <w:ind w:right="-5"/>
      <w:jc w:val="both"/>
    </w:pPr>
  </w:style>
  <w:style w:type="character" w:customStyle="1" w:styleId="86">
    <w:name w:val="Заголовок Знак"/>
    <w:basedOn w:val="11"/>
    <w:link w:val="41"/>
    <w:qFormat/>
    <w:uiPriority w:val="99"/>
    <w:rPr>
      <w:rFonts w:ascii="Times New Roman" w:hAnsi="Times New Roman" w:eastAsia="Times New Roman" w:cs="Times New Roman"/>
      <w:sz w:val="28"/>
      <w:szCs w:val="20"/>
      <w:lang w:eastAsia="ru-RU"/>
    </w:rPr>
  </w:style>
  <w:style w:type="paragraph" w:customStyle="1" w:styleId="87">
    <w:name w:val="заголовок 4"/>
    <w:basedOn w:val="1"/>
    <w:next w:val="1"/>
    <w:qFormat/>
    <w:uiPriority w:val="0"/>
    <w:pPr>
      <w:keepNext/>
      <w:tabs>
        <w:tab w:val="left" w:pos="360"/>
      </w:tabs>
      <w:spacing w:before="240" w:after="60"/>
      <w:ind w:left="360" w:hanging="360"/>
      <w:outlineLvl w:val="3"/>
    </w:pPr>
    <w:rPr>
      <w:rFonts w:ascii="Arial" w:hAnsi="Arial"/>
      <w:b/>
      <w:sz w:val="24"/>
    </w:rPr>
  </w:style>
  <w:style w:type="paragraph" w:customStyle="1" w:styleId="88">
    <w:name w:val="Nonformat"/>
    <w:basedOn w:val="1"/>
    <w:qFormat/>
    <w:uiPriority w:val="0"/>
    <w:rPr>
      <w:rFonts w:ascii="Consultant" w:hAnsi="Consultant"/>
      <w:snapToGrid w:val="0"/>
    </w:rPr>
  </w:style>
  <w:style w:type="paragraph" w:customStyle="1" w:styleId="89">
    <w:name w:val="Cell"/>
    <w:basedOn w:val="1"/>
    <w:qFormat/>
    <w:uiPriority w:val="0"/>
    <w:rPr>
      <w:snapToGrid w:val="0"/>
    </w:rPr>
  </w:style>
  <w:style w:type="paragraph" w:customStyle="1" w:styleId="90">
    <w:name w:val="c2"/>
    <w:basedOn w:val="1"/>
    <w:qFormat/>
    <w:uiPriority w:val="0"/>
    <w:pPr>
      <w:widowControl w:val="0"/>
      <w:spacing w:line="240" w:lineRule="atLeast"/>
      <w:jc w:val="center"/>
    </w:pPr>
    <w:rPr>
      <w:snapToGrid w:val="0"/>
      <w:sz w:val="24"/>
    </w:rPr>
  </w:style>
  <w:style w:type="paragraph" w:customStyle="1" w:styleId="91">
    <w:name w:val="p4"/>
    <w:basedOn w:val="1"/>
    <w:qFormat/>
    <w:uiPriority w:val="0"/>
    <w:pPr>
      <w:widowControl w:val="0"/>
      <w:tabs>
        <w:tab w:val="left" w:pos="760"/>
      </w:tabs>
      <w:spacing w:line="280" w:lineRule="atLeast"/>
      <w:ind w:left="680"/>
      <w:jc w:val="both"/>
    </w:pPr>
    <w:rPr>
      <w:snapToGrid w:val="0"/>
      <w:sz w:val="24"/>
    </w:rPr>
  </w:style>
  <w:style w:type="character" w:customStyle="1" w:styleId="92">
    <w:name w:val="Текст выноски Знак"/>
    <w:basedOn w:val="11"/>
    <w:link w:val="22"/>
    <w:semiHidden/>
    <w:qFormat/>
    <w:uiPriority w:val="99"/>
    <w:rPr>
      <w:rFonts w:ascii="Tahoma" w:hAnsi="Tahoma" w:eastAsia="Times New Roman" w:cs="Times New Roman"/>
      <w:sz w:val="16"/>
      <w:szCs w:val="16"/>
      <w:lang w:eastAsia="ru-RU"/>
    </w:rPr>
  </w:style>
  <w:style w:type="paragraph" w:customStyle="1" w:styleId="93">
    <w:name w:val="1Стиль1"/>
    <w:basedOn w:val="1"/>
    <w:qFormat/>
    <w:uiPriority w:val="0"/>
    <w:pPr>
      <w:widowControl w:val="0"/>
      <w:autoSpaceDE w:val="0"/>
      <w:autoSpaceDN w:val="0"/>
      <w:ind w:left="130" w:right="567" w:firstLine="658"/>
      <w:jc w:val="both"/>
    </w:pPr>
    <w:rPr>
      <w:rFonts w:ascii="Arial" w:hAnsi="Arial"/>
      <w:sz w:val="24"/>
    </w:rPr>
  </w:style>
  <w:style w:type="paragraph" w:customStyle="1" w:styleId="94">
    <w:name w:val="Номер"/>
    <w:basedOn w:val="1"/>
    <w:qFormat/>
    <w:uiPriority w:val="0"/>
    <w:pPr>
      <w:tabs>
        <w:tab w:val="left" w:pos="360"/>
      </w:tabs>
      <w:spacing w:before="120"/>
      <w:ind w:left="360" w:hanging="360"/>
      <w:jc w:val="both"/>
    </w:pPr>
    <w:rPr>
      <w:sz w:val="28"/>
    </w:rPr>
  </w:style>
  <w:style w:type="paragraph" w:customStyle="1" w:styleId="95">
    <w:name w:val="Заг1"/>
    <w:basedOn w:val="1"/>
    <w:qFormat/>
    <w:uiPriority w:val="0"/>
    <w:pPr>
      <w:numPr>
        <w:ilvl w:val="0"/>
        <w:numId w:val="3"/>
      </w:numPr>
      <w:spacing w:before="360"/>
    </w:pPr>
    <w:rPr>
      <w:b/>
      <w:snapToGrid w:val="0"/>
      <w:sz w:val="24"/>
      <w:szCs w:val="24"/>
    </w:rPr>
  </w:style>
  <w:style w:type="paragraph" w:customStyle="1" w:styleId="96">
    <w:name w:val="Заг2"/>
    <w:basedOn w:val="95"/>
    <w:qFormat/>
    <w:uiPriority w:val="0"/>
    <w:pPr>
      <w:numPr>
        <w:numId w:val="0"/>
      </w:numPr>
      <w:tabs>
        <w:tab w:val="left" w:pos="360"/>
        <w:tab w:val="left" w:pos="540"/>
        <w:tab w:val="left" w:pos="1209"/>
      </w:tabs>
      <w:spacing w:before="180"/>
      <w:ind w:left="1209" w:hanging="360"/>
    </w:pPr>
    <w:rPr>
      <w:b w:val="0"/>
    </w:rPr>
  </w:style>
  <w:style w:type="paragraph" w:customStyle="1" w:styleId="97">
    <w:name w:val="Отбивка"/>
    <w:basedOn w:val="1"/>
    <w:qFormat/>
    <w:uiPriority w:val="0"/>
    <w:pPr>
      <w:tabs>
        <w:tab w:val="left" w:pos="720"/>
      </w:tabs>
      <w:spacing w:before="120"/>
      <w:ind w:left="714" w:hanging="357"/>
      <w:jc w:val="both"/>
    </w:pPr>
    <w:rPr>
      <w:sz w:val="28"/>
    </w:rPr>
  </w:style>
  <w:style w:type="paragraph" w:customStyle="1" w:styleId="98">
    <w:name w:val="Т Номер"/>
    <w:basedOn w:val="1"/>
    <w:qFormat/>
    <w:uiPriority w:val="0"/>
    <w:pPr>
      <w:tabs>
        <w:tab w:val="left" w:pos="320"/>
      </w:tabs>
      <w:spacing w:before="60" w:after="60"/>
      <w:ind w:left="357" w:hanging="357"/>
    </w:pPr>
    <w:rPr>
      <w:sz w:val="24"/>
      <w:szCs w:val="24"/>
    </w:rPr>
  </w:style>
  <w:style w:type="paragraph" w:customStyle="1" w:styleId="99">
    <w:name w:val="Н00"/>
    <w:basedOn w:val="1"/>
    <w:qFormat/>
    <w:uiPriority w:val="0"/>
    <w:pPr>
      <w:tabs>
        <w:tab w:val="left" w:pos="624"/>
      </w:tabs>
      <w:ind w:left="624" w:hanging="624"/>
    </w:pPr>
    <w:rPr>
      <w:sz w:val="24"/>
    </w:rPr>
  </w:style>
  <w:style w:type="paragraph" w:customStyle="1" w:styleId="100">
    <w:name w:val="Н22"/>
    <w:basedOn w:val="1"/>
    <w:qFormat/>
    <w:uiPriority w:val="0"/>
    <w:pPr>
      <w:tabs>
        <w:tab w:val="left" w:pos="1474"/>
      </w:tabs>
      <w:ind w:left="1474" w:hanging="1134"/>
    </w:pPr>
    <w:rPr>
      <w:sz w:val="24"/>
    </w:rPr>
  </w:style>
  <w:style w:type="paragraph" w:customStyle="1" w:styleId="101">
    <w:name w:val="Н33"/>
    <w:basedOn w:val="1"/>
    <w:qFormat/>
    <w:uiPriority w:val="0"/>
    <w:pPr>
      <w:tabs>
        <w:tab w:val="left" w:pos="3686"/>
      </w:tabs>
      <w:ind w:left="3686" w:hanging="1928"/>
    </w:pPr>
    <w:rPr>
      <w:sz w:val="24"/>
    </w:rPr>
  </w:style>
  <w:style w:type="paragraph" w:customStyle="1" w:styleId="102">
    <w:name w:val="отбивка"/>
    <w:basedOn w:val="1"/>
    <w:qFormat/>
    <w:uiPriority w:val="0"/>
    <w:pPr>
      <w:tabs>
        <w:tab w:val="left" w:pos="709"/>
      </w:tabs>
      <w:spacing w:before="60"/>
      <w:ind w:left="709" w:hanging="425"/>
    </w:pPr>
    <w:rPr>
      <w:sz w:val="24"/>
    </w:rPr>
  </w:style>
  <w:style w:type="paragraph" w:customStyle="1" w:styleId="103">
    <w:name w:val="3---"/>
    <w:basedOn w:val="1"/>
    <w:qFormat/>
    <w:uiPriority w:val="0"/>
    <w:pPr>
      <w:spacing w:before="120" w:after="120"/>
      <w:jc w:val="both"/>
    </w:pPr>
    <w:rPr>
      <w:sz w:val="24"/>
    </w:rPr>
  </w:style>
  <w:style w:type="paragraph" w:customStyle="1" w:styleId="104">
    <w:name w:val="Абзац"/>
    <w:basedOn w:val="1"/>
    <w:qFormat/>
    <w:uiPriority w:val="0"/>
    <w:pPr>
      <w:spacing w:before="120"/>
      <w:ind w:firstLine="709"/>
      <w:jc w:val="both"/>
    </w:pPr>
    <w:rPr>
      <w:sz w:val="24"/>
      <w:szCs w:val="24"/>
    </w:rPr>
  </w:style>
  <w:style w:type="paragraph" w:customStyle="1" w:styleId="105">
    <w:name w:val="Т Абзац"/>
    <w:basedOn w:val="1"/>
    <w:qFormat/>
    <w:uiPriority w:val="0"/>
    <w:pPr>
      <w:spacing w:before="60" w:after="60"/>
    </w:pPr>
    <w:rPr>
      <w:sz w:val="24"/>
      <w:szCs w:val="24"/>
    </w:rPr>
  </w:style>
  <w:style w:type="paragraph" w:customStyle="1" w:styleId="106">
    <w:name w:val="Абзац2"/>
    <w:basedOn w:val="1"/>
    <w:qFormat/>
    <w:uiPriority w:val="0"/>
    <w:pPr>
      <w:spacing w:before="60"/>
      <w:ind w:left="720"/>
    </w:pPr>
    <w:rPr>
      <w:sz w:val="24"/>
      <w:szCs w:val="24"/>
    </w:rPr>
  </w:style>
  <w:style w:type="paragraph" w:customStyle="1" w:styleId="107">
    <w:name w:val="Chapter Subtitle"/>
    <w:basedOn w:val="48"/>
    <w:next w:val="2"/>
    <w:qFormat/>
    <w:uiPriority w:val="0"/>
    <w:pPr>
      <w:keepNext/>
      <w:keepLines/>
      <w:suppressAutoHyphens/>
      <w:spacing w:before="60" w:after="120" w:line="340" w:lineRule="atLeast"/>
      <w:outlineLvl w:val="9"/>
    </w:pPr>
    <w:rPr>
      <w:rFonts w:ascii="Times New Roman" w:hAnsi="Times New Roman"/>
      <w:b/>
      <w:caps/>
      <w:spacing w:val="-16"/>
      <w:kern w:val="28"/>
      <w:sz w:val="32"/>
      <w:lang w:val="en-US"/>
    </w:rPr>
  </w:style>
  <w:style w:type="character" w:customStyle="1" w:styleId="108">
    <w:name w:val="Подзаголовок Знак"/>
    <w:basedOn w:val="11"/>
    <w:link w:val="48"/>
    <w:qFormat/>
    <w:uiPriority w:val="0"/>
    <w:rPr>
      <w:rFonts w:ascii="Arial" w:hAnsi="Arial" w:eastAsia="Times New Roman" w:cs="Times New Roman"/>
      <w:sz w:val="24"/>
      <w:szCs w:val="24"/>
      <w:lang w:eastAsia="ru-RU"/>
    </w:rPr>
  </w:style>
  <w:style w:type="character" w:customStyle="1" w:styleId="109">
    <w:name w:val="Текст Знак"/>
    <w:basedOn w:val="11"/>
    <w:link w:val="24"/>
    <w:qFormat/>
    <w:uiPriority w:val="0"/>
    <w:rPr>
      <w:rFonts w:ascii="Courier New" w:hAnsi="Courier New" w:eastAsia="Times New Roman" w:cs="Times New Roman"/>
      <w:sz w:val="20"/>
      <w:szCs w:val="24"/>
      <w:lang w:eastAsia="ru-RU"/>
    </w:rPr>
  </w:style>
  <w:style w:type="character" w:customStyle="1" w:styleId="110">
    <w:name w:val="Текст сноски Знак"/>
    <w:basedOn w:val="11"/>
    <w:link w:val="31"/>
    <w:qFormat/>
    <w:uiPriority w:val="99"/>
    <w:rPr>
      <w:rFonts w:ascii="Gelvetsky 12pt" w:hAnsi="Gelvetsky 12pt" w:eastAsia="Times New Roman" w:cs="Times New Roman"/>
      <w:sz w:val="24"/>
      <w:szCs w:val="20"/>
      <w:lang w:val="en-US" w:eastAsia="ru-RU"/>
    </w:rPr>
  </w:style>
  <w:style w:type="paragraph" w:customStyle="1" w:styleId="111">
    <w:name w:val="h4"/>
    <w:basedOn w:val="1"/>
    <w:qFormat/>
    <w:uiPriority w:val="0"/>
    <w:pPr>
      <w:spacing w:before="100" w:beforeAutospacing="1" w:after="100" w:afterAutospacing="1"/>
    </w:pPr>
    <w:rPr>
      <w:rFonts w:ascii="Arial Unicode MS" w:hAnsi="Arial Unicode MS" w:eastAsia="Arial Unicode MS" w:cs="Arial Unicode MS"/>
      <w:sz w:val="24"/>
      <w:szCs w:val="24"/>
    </w:rPr>
  </w:style>
  <w:style w:type="paragraph" w:customStyle="1" w:styleId="112">
    <w:name w:val="Знак21"/>
    <w:basedOn w:val="1"/>
    <w:qFormat/>
    <w:uiPriority w:val="0"/>
    <w:pPr>
      <w:spacing w:after="160" w:line="240" w:lineRule="exact"/>
    </w:pPr>
    <w:rPr>
      <w:rFonts w:ascii="Verdana" w:hAnsi="Verdana" w:cs="Verdana"/>
      <w:lang w:val="en-US" w:eastAsia="en-US"/>
    </w:rPr>
  </w:style>
  <w:style w:type="paragraph" w:customStyle="1" w:styleId="113">
    <w:name w:val="Список 21"/>
    <w:basedOn w:val="1"/>
    <w:qFormat/>
    <w:uiPriority w:val="0"/>
    <w:pPr>
      <w:widowControl w:val="0"/>
      <w:suppressAutoHyphens/>
      <w:autoSpaceDE w:val="0"/>
      <w:ind w:left="566" w:hanging="283"/>
    </w:pPr>
    <w:rPr>
      <w:b/>
      <w:bCs/>
      <w:lang w:eastAsia="ar-SA"/>
    </w:rPr>
  </w:style>
  <w:style w:type="paragraph" w:customStyle="1" w:styleId="114">
    <w:name w:val="Знак5"/>
    <w:basedOn w:val="1"/>
    <w:qFormat/>
    <w:uiPriority w:val="0"/>
    <w:pPr>
      <w:spacing w:after="160" w:line="240" w:lineRule="exact"/>
    </w:pPr>
    <w:rPr>
      <w:rFonts w:ascii="Verdana" w:hAnsi="Verdana"/>
      <w:lang w:val="en-US" w:eastAsia="en-US"/>
    </w:rPr>
  </w:style>
  <w:style w:type="paragraph" w:customStyle="1" w:styleId="115">
    <w:name w:val="Стиль3 Знак Знак Знак Знак"/>
    <w:basedOn w:val="47"/>
    <w:link w:val="116"/>
    <w:qFormat/>
    <w:uiPriority w:val="0"/>
    <w:pPr>
      <w:widowControl w:val="0"/>
      <w:tabs>
        <w:tab w:val="left" w:pos="227"/>
        <w:tab w:val="clear" w:pos="0"/>
      </w:tabs>
      <w:suppressAutoHyphens w:val="0"/>
      <w:adjustRightInd w:val="0"/>
      <w:ind w:firstLine="0"/>
      <w:textAlignment w:val="baseline"/>
    </w:pPr>
  </w:style>
  <w:style w:type="character" w:customStyle="1" w:styleId="116">
    <w:name w:val="Стиль3 Знак Знак Знак Знак Знак"/>
    <w:link w:val="115"/>
    <w:qFormat/>
    <w:uiPriority w:val="0"/>
    <w:rPr>
      <w:rFonts w:ascii="Times New Roman" w:hAnsi="Times New Roman" w:eastAsia="Times New Roman" w:cs="Times New Roman"/>
      <w:sz w:val="24"/>
      <w:szCs w:val="20"/>
      <w:lang w:eastAsia="ru-RU"/>
    </w:rPr>
  </w:style>
  <w:style w:type="paragraph" w:customStyle="1" w:styleId="117">
    <w:name w:val="Знак Знак Знак Знак Знак Знак Знак Знак1 Знак Знак Знак Знак Знак Знак Знак1"/>
    <w:basedOn w:val="1"/>
    <w:qFormat/>
    <w:uiPriority w:val="0"/>
    <w:pPr>
      <w:spacing w:after="160" w:line="240" w:lineRule="exact"/>
    </w:pPr>
    <w:rPr>
      <w:rFonts w:ascii="Verdana" w:hAnsi="Verdana" w:cs="Verdana"/>
      <w:lang w:val="en-US" w:eastAsia="en-US"/>
    </w:rPr>
  </w:style>
  <w:style w:type="character" w:customStyle="1" w:styleId="118">
    <w:name w:val="Основной текст Знак1"/>
    <w:link w:val="33"/>
    <w:qFormat/>
    <w:uiPriority w:val="0"/>
    <w:rPr>
      <w:rFonts w:ascii="Times New Roman" w:hAnsi="Times New Roman" w:eastAsia="Times New Roman" w:cs="Times New Roman"/>
      <w:sz w:val="20"/>
      <w:szCs w:val="20"/>
      <w:lang w:eastAsia="ru-RU"/>
    </w:rPr>
  </w:style>
  <w:style w:type="character" w:customStyle="1" w:styleId="119">
    <w:name w:val="Текст примечания Знак"/>
    <w:basedOn w:val="11"/>
    <w:link w:val="28"/>
    <w:qFormat/>
    <w:uiPriority w:val="99"/>
    <w:rPr>
      <w:rFonts w:ascii="Times New Roman" w:hAnsi="Times New Roman" w:eastAsia="Times New Roman" w:cs="Times New Roman"/>
      <w:sz w:val="20"/>
      <w:szCs w:val="20"/>
      <w:lang w:eastAsia="ar-SA"/>
    </w:rPr>
  </w:style>
  <w:style w:type="character" w:customStyle="1" w:styleId="120">
    <w:name w:val="Тема примечания Знак"/>
    <w:basedOn w:val="119"/>
    <w:link w:val="29"/>
    <w:semiHidden/>
    <w:qFormat/>
    <w:uiPriority w:val="99"/>
    <w:rPr>
      <w:rFonts w:ascii="Times New Roman" w:hAnsi="Times New Roman" w:eastAsia="Times New Roman" w:cs="Times New Roman"/>
      <w:b/>
      <w:bCs/>
      <w:sz w:val="20"/>
      <w:szCs w:val="20"/>
      <w:lang w:eastAsia="ar-SA"/>
    </w:rPr>
  </w:style>
  <w:style w:type="paragraph" w:customStyle="1" w:styleId="121">
    <w:name w:val="Список многоуровневый"/>
    <w:basedOn w:val="1"/>
    <w:qFormat/>
    <w:uiPriority w:val="0"/>
    <w:pPr>
      <w:tabs>
        <w:tab w:val="left" w:pos="357"/>
      </w:tabs>
      <w:spacing w:before="60" w:after="60"/>
      <w:jc w:val="both"/>
    </w:pPr>
    <w:rPr>
      <w:snapToGrid w:val="0"/>
      <w:sz w:val="24"/>
    </w:rPr>
  </w:style>
  <w:style w:type="paragraph" w:customStyle="1" w:styleId="122">
    <w:name w:val="Цветной список - Акцент 13"/>
    <w:basedOn w:val="1"/>
    <w:qFormat/>
    <w:uiPriority w:val="34"/>
    <w:pPr>
      <w:ind w:left="708"/>
    </w:pPr>
  </w:style>
  <w:style w:type="character" w:customStyle="1" w:styleId="123">
    <w:name w:val="Знак Знак5"/>
    <w:semiHidden/>
    <w:qFormat/>
    <w:uiPriority w:val="0"/>
    <w:rPr>
      <w:lang w:val="ru-RU" w:eastAsia="ar-SA" w:bidi="ar-SA"/>
    </w:rPr>
  </w:style>
  <w:style w:type="paragraph" w:customStyle="1" w:styleId="124">
    <w:name w:val="Список 22"/>
    <w:basedOn w:val="1"/>
    <w:qFormat/>
    <w:uiPriority w:val="0"/>
    <w:pPr>
      <w:widowControl w:val="0"/>
      <w:suppressAutoHyphens/>
      <w:autoSpaceDE w:val="0"/>
      <w:ind w:left="566" w:hanging="283"/>
    </w:pPr>
    <w:rPr>
      <w:b/>
      <w:bCs/>
      <w:lang w:eastAsia="ar-SA"/>
    </w:rPr>
  </w:style>
  <w:style w:type="paragraph" w:customStyle="1" w:styleId="125">
    <w:name w:val="Знак"/>
    <w:basedOn w:val="1"/>
    <w:qFormat/>
    <w:uiPriority w:val="99"/>
    <w:pPr>
      <w:spacing w:after="160" w:line="240" w:lineRule="exact"/>
    </w:pPr>
    <w:rPr>
      <w:rFonts w:ascii="Verdana" w:hAnsi="Verdana" w:cs="Verdana"/>
      <w:lang w:val="en-US" w:eastAsia="en-US"/>
    </w:rPr>
  </w:style>
  <w:style w:type="paragraph" w:customStyle="1" w:styleId="126">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127">
    <w:name w:val="пункт-6"/>
    <w:basedOn w:val="1"/>
    <w:qFormat/>
    <w:uiPriority w:val="0"/>
    <w:pPr>
      <w:numPr>
        <w:ilvl w:val="0"/>
        <w:numId w:val="4"/>
      </w:numPr>
      <w:spacing w:line="288" w:lineRule="auto"/>
      <w:jc w:val="both"/>
    </w:pPr>
    <w:rPr>
      <w:sz w:val="28"/>
      <w:szCs w:val="28"/>
    </w:rPr>
  </w:style>
  <w:style w:type="paragraph" w:customStyle="1" w:styleId="128">
    <w:name w:val="пункт-3"/>
    <w:basedOn w:val="1"/>
    <w:link w:val="129"/>
    <w:qFormat/>
    <w:uiPriority w:val="0"/>
    <w:pPr>
      <w:tabs>
        <w:tab w:val="left" w:pos="1701"/>
      </w:tabs>
      <w:spacing w:line="288" w:lineRule="auto"/>
      <w:ind w:firstLine="567"/>
      <w:jc w:val="both"/>
    </w:pPr>
    <w:rPr>
      <w:sz w:val="28"/>
      <w:szCs w:val="28"/>
    </w:rPr>
  </w:style>
  <w:style w:type="character" w:customStyle="1" w:styleId="129">
    <w:name w:val="пункт-3 Знак"/>
    <w:link w:val="128"/>
    <w:qFormat/>
    <w:uiPriority w:val="0"/>
    <w:rPr>
      <w:rFonts w:ascii="Times New Roman" w:hAnsi="Times New Roman" w:eastAsia="Times New Roman" w:cs="Times New Roman"/>
      <w:sz w:val="28"/>
      <w:szCs w:val="28"/>
      <w:lang w:eastAsia="ru-RU"/>
    </w:rPr>
  </w:style>
  <w:style w:type="paragraph" w:customStyle="1" w:styleId="130">
    <w:name w:val="Таблица текст"/>
    <w:basedOn w:val="1"/>
    <w:link w:val="357"/>
    <w:qFormat/>
    <w:uiPriority w:val="99"/>
    <w:pPr>
      <w:spacing w:before="40" w:after="40"/>
      <w:ind w:left="57" w:right="57"/>
    </w:pPr>
    <w:rPr>
      <w:sz w:val="24"/>
      <w:szCs w:val="24"/>
    </w:rPr>
  </w:style>
  <w:style w:type="paragraph" w:customStyle="1" w:styleId="131">
    <w:name w:val="Цветной список - Акцент 11"/>
    <w:basedOn w:val="1"/>
    <w:qFormat/>
    <w:uiPriority w:val="0"/>
    <w:pPr>
      <w:ind w:left="708"/>
    </w:pPr>
    <w:rPr>
      <w:sz w:val="24"/>
      <w:szCs w:val="24"/>
    </w:rPr>
  </w:style>
  <w:style w:type="paragraph" w:customStyle="1" w:styleId="132">
    <w:name w:val="Знак Знак Знак"/>
    <w:basedOn w:val="1"/>
    <w:qFormat/>
    <w:uiPriority w:val="0"/>
    <w:pPr>
      <w:spacing w:after="160" w:line="240" w:lineRule="exact"/>
    </w:pPr>
    <w:rPr>
      <w:rFonts w:ascii="Verdana" w:hAnsi="Verdana" w:cs="Verdana"/>
      <w:lang w:val="en-US" w:eastAsia="en-US"/>
    </w:rPr>
  </w:style>
  <w:style w:type="paragraph" w:customStyle="1" w:styleId="133">
    <w:name w:val="пункт-4"/>
    <w:basedOn w:val="1"/>
    <w:qFormat/>
    <w:uiPriority w:val="0"/>
    <w:pPr>
      <w:tabs>
        <w:tab w:val="left" w:pos="2880"/>
      </w:tabs>
      <w:spacing w:line="288" w:lineRule="auto"/>
      <w:ind w:left="2880" w:hanging="360"/>
      <w:jc w:val="both"/>
    </w:pPr>
    <w:rPr>
      <w:sz w:val="28"/>
      <w:szCs w:val="28"/>
    </w:rPr>
  </w:style>
  <w:style w:type="paragraph" w:customStyle="1" w:styleId="134">
    <w:name w:val="Основной текст 21"/>
    <w:basedOn w:val="1"/>
    <w:qFormat/>
    <w:uiPriority w:val="0"/>
    <w:pPr>
      <w:widowControl w:val="0"/>
      <w:suppressAutoHyphens/>
      <w:autoSpaceDE w:val="0"/>
      <w:jc w:val="both"/>
    </w:pPr>
    <w:rPr>
      <w:i/>
      <w:sz w:val="22"/>
      <w:lang w:val="en-US" w:eastAsia="ar-SA"/>
    </w:rPr>
  </w:style>
  <w:style w:type="paragraph" w:customStyle="1" w:styleId="135">
    <w:name w:val="Основной текст 22"/>
    <w:basedOn w:val="1"/>
    <w:qFormat/>
    <w:uiPriority w:val="0"/>
    <w:pPr>
      <w:suppressAutoHyphens/>
      <w:spacing w:after="120" w:line="480" w:lineRule="auto"/>
    </w:pPr>
    <w:rPr>
      <w:lang w:eastAsia="ar-SA"/>
    </w:rPr>
  </w:style>
  <w:style w:type="paragraph" w:customStyle="1" w:styleId="136">
    <w:name w:val="Обычный (веб)1"/>
    <w:basedOn w:val="1"/>
    <w:qFormat/>
    <w:uiPriority w:val="0"/>
    <w:pPr>
      <w:spacing w:before="100" w:after="100"/>
    </w:pPr>
    <w:rPr>
      <w:rFonts w:ascii="Arial" w:hAnsi="Arial"/>
      <w:color w:val="000000"/>
      <w:sz w:val="10"/>
    </w:rPr>
  </w:style>
  <w:style w:type="character" w:customStyle="1" w:styleId="137">
    <w:name w:val="Символ сноски"/>
    <w:qFormat/>
    <w:uiPriority w:val="0"/>
    <w:rPr>
      <w:vertAlign w:val="superscript"/>
    </w:rPr>
  </w:style>
  <w:style w:type="character" w:customStyle="1" w:styleId="138">
    <w:name w:val="Стандартный HTML Знак"/>
    <w:basedOn w:val="11"/>
    <w:link w:val="52"/>
    <w:qFormat/>
    <w:uiPriority w:val="99"/>
    <w:rPr>
      <w:rFonts w:ascii="Arial Unicode MS" w:hAnsi="Arial Unicode MS" w:eastAsia="Arial Unicode MS" w:cs="Times New Roman"/>
      <w:color w:val="000000"/>
      <w:sz w:val="20"/>
      <w:szCs w:val="20"/>
      <w:lang w:eastAsia="ru-RU"/>
    </w:rPr>
  </w:style>
  <w:style w:type="paragraph" w:customStyle="1" w:styleId="139">
    <w:name w:val="Марксписок_Е"/>
    <w:qFormat/>
    <w:uiPriority w:val="0"/>
    <w:pPr>
      <w:numPr>
        <w:ilvl w:val="0"/>
        <w:numId w:val="5"/>
      </w:numPr>
    </w:pPr>
    <w:rPr>
      <w:rFonts w:ascii="Times New Roman" w:hAnsi="Times New Roman" w:eastAsia="Times New Roman" w:cs="Times New Roman"/>
      <w:sz w:val="24"/>
      <w:lang w:val="ru-RU" w:eastAsia="en-US" w:bidi="ar-SA"/>
    </w:rPr>
  </w:style>
  <w:style w:type="paragraph" w:customStyle="1" w:styleId="140">
    <w:name w:val="Ñïèñîê 21"/>
    <w:basedOn w:val="1"/>
    <w:qFormat/>
    <w:uiPriority w:val="0"/>
    <w:pPr>
      <w:widowControl w:val="0"/>
      <w:suppressAutoHyphens/>
      <w:spacing w:after="120"/>
      <w:ind w:left="360" w:hanging="360"/>
    </w:pPr>
    <w:rPr>
      <w:rFonts w:eastAsia="Lucida Sans Unicode" w:cs="Mangal"/>
      <w:kern w:val="1"/>
      <w:sz w:val="24"/>
      <w:szCs w:val="24"/>
      <w:lang w:bidi="ru-RU"/>
    </w:rPr>
  </w:style>
  <w:style w:type="paragraph" w:customStyle="1" w:styleId="141">
    <w:name w:val="Цветной список - Акцент 12"/>
    <w:basedOn w:val="1"/>
    <w:qFormat/>
    <w:uiPriority w:val="34"/>
    <w:pPr>
      <w:ind w:left="708"/>
    </w:pPr>
  </w:style>
  <w:style w:type="paragraph" w:customStyle="1" w:styleId="142">
    <w:name w:val="Цветная заливка - Акцент 11"/>
    <w:hidden/>
    <w:semiHidden/>
    <w:qFormat/>
    <w:uiPriority w:val="99"/>
    <w:rPr>
      <w:rFonts w:ascii="Times New Roman" w:hAnsi="Times New Roman" w:eastAsia="Times New Roman" w:cs="Times New Roman"/>
      <w:lang w:val="ru-RU" w:eastAsia="ru-RU" w:bidi="ar-SA"/>
    </w:rPr>
  </w:style>
  <w:style w:type="character" w:customStyle="1" w:styleId="143">
    <w:name w:val="текст Знак"/>
    <w:qFormat/>
    <w:uiPriority w:val="0"/>
    <w:rPr>
      <w:rFonts w:eastAsia="Times New Roman"/>
      <w:spacing w:val="-4"/>
      <w:sz w:val="20"/>
      <w:szCs w:val="20"/>
      <w:lang w:eastAsia="ru-RU"/>
    </w:rPr>
  </w:style>
  <w:style w:type="paragraph" w:customStyle="1" w:styleId="144">
    <w:name w:val="Стиль2"/>
    <w:basedOn w:val="1"/>
    <w:qFormat/>
    <w:uiPriority w:val="0"/>
    <w:pPr>
      <w:ind w:firstLine="426"/>
      <w:jc w:val="both"/>
    </w:pPr>
    <w:rPr>
      <w:sz w:val="24"/>
    </w:rPr>
  </w:style>
  <w:style w:type="paragraph" w:customStyle="1" w:styleId="145">
    <w:name w:val="Стиль3 Знак Знак"/>
    <w:basedOn w:val="47"/>
    <w:link w:val="146"/>
    <w:qFormat/>
    <w:uiPriority w:val="0"/>
    <w:pPr>
      <w:widowControl w:val="0"/>
      <w:tabs>
        <w:tab w:val="left" w:pos="227"/>
        <w:tab w:val="clear" w:pos="0"/>
      </w:tabs>
      <w:suppressAutoHyphens w:val="0"/>
      <w:adjustRightInd w:val="0"/>
      <w:ind w:firstLine="0"/>
      <w:textAlignment w:val="baseline"/>
    </w:pPr>
  </w:style>
  <w:style w:type="character" w:customStyle="1" w:styleId="146">
    <w:name w:val="Стиль3 Знак Знак Знак"/>
    <w:link w:val="145"/>
    <w:qFormat/>
    <w:uiPriority w:val="0"/>
    <w:rPr>
      <w:rFonts w:ascii="Times New Roman" w:hAnsi="Times New Roman" w:eastAsia="Times New Roman" w:cs="Times New Roman"/>
      <w:sz w:val="24"/>
      <w:szCs w:val="20"/>
      <w:lang w:eastAsia="ru-RU"/>
    </w:rPr>
  </w:style>
  <w:style w:type="paragraph" w:customStyle="1" w:styleId="147">
    <w:name w:val="Стиль3 Знак"/>
    <w:basedOn w:val="47"/>
    <w:link w:val="148"/>
    <w:qFormat/>
    <w:uiPriority w:val="0"/>
    <w:pPr>
      <w:widowControl w:val="0"/>
      <w:tabs>
        <w:tab w:val="left" w:pos="1307"/>
        <w:tab w:val="clear" w:pos="0"/>
      </w:tabs>
      <w:suppressAutoHyphens w:val="0"/>
      <w:adjustRightInd w:val="0"/>
      <w:ind w:left="1080" w:firstLine="0"/>
      <w:textAlignment w:val="baseline"/>
    </w:pPr>
  </w:style>
  <w:style w:type="character" w:customStyle="1" w:styleId="148">
    <w:name w:val="Стиль3 Знак Знак1"/>
    <w:link w:val="147"/>
    <w:qFormat/>
    <w:uiPriority w:val="0"/>
    <w:rPr>
      <w:rFonts w:ascii="Times New Roman" w:hAnsi="Times New Roman" w:eastAsia="Times New Roman" w:cs="Times New Roman"/>
      <w:sz w:val="24"/>
      <w:szCs w:val="20"/>
      <w:lang w:eastAsia="ru-RU"/>
    </w:rPr>
  </w:style>
  <w:style w:type="paragraph" w:styleId="149">
    <w:name w:val="List Paragraph"/>
    <w:basedOn w:val="1"/>
    <w:link w:val="165"/>
    <w:qFormat/>
    <w:uiPriority w:val="99"/>
    <w:pPr>
      <w:ind w:left="708"/>
    </w:pPr>
  </w:style>
  <w:style w:type="paragraph" w:customStyle="1" w:styleId="150">
    <w:name w:val="3"/>
    <w:basedOn w:val="1"/>
    <w:qFormat/>
    <w:uiPriority w:val="0"/>
    <w:pPr>
      <w:jc w:val="both"/>
    </w:pPr>
    <w:rPr>
      <w:sz w:val="24"/>
      <w:szCs w:val="24"/>
    </w:rPr>
  </w:style>
  <w:style w:type="paragraph" w:customStyle="1" w:styleId="151">
    <w:name w:val="ConsPlusNormal"/>
    <w:link w:val="346"/>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152">
    <w:name w:val="Абзац списка1"/>
    <w:basedOn w:val="1"/>
    <w:qFormat/>
    <w:uiPriority w:val="0"/>
    <w:pPr>
      <w:spacing w:line="360" w:lineRule="auto"/>
      <w:ind w:left="720"/>
      <w:contextualSpacing/>
      <w:jc w:val="both"/>
    </w:pPr>
    <w:rPr>
      <w:rFonts w:eastAsia="Calibri"/>
      <w:sz w:val="28"/>
      <w:szCs w:val="22"/>
      <w:lang w:eastAsia="en-US"/>
    </w:rPr>
  </w:style>
  <w:style w:type="paragraph" w:customStyle="1" w:styleId="153">
    <w:name w:val="Обычный2"/>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character" w:customStyle="1" w:styleId="154">
    <w:name w:val="apple-converted-space"/>
    <w:basedOn w:val="11"/>
    <w:qFormat/>
    <w:uiPriority w:val="0"/>
  </w:style>
  <w:style w:type="paragraph" w:customStyle="1" w:styleId="155">
    <w:name w:val="msolistparagraph"/>
    <w:basedOn w:val="1"/>
    <w:qFormat/>
    <w:uiPriority w:val="0"/>
    <w:pPr>
      <w:ind w:left="720"/>
      <w:contextualSpacing/>
    </w:pPr>
    <w:rPr>
      <w:sz w:val="24"/>
      <w:szCs w:val="24"/>
    </w:rPr>
  </w:style>
  <w:style w:type="paragraph" w:customStyle="1" w:styleId="156">
    <w:name w:val="Style8"/>
    <w:basedOn w:val="1"/>
    <w:qFormat/>
    <w:uiPriority w:val="0"/>
    <w:pPr>
      <w:widowControl w:val="0"/>
      <w:autoSpaceDE w:val="0"/>
      <w:autoSpaceDN w:val="0"/>
      <w:adjustRightInd w:val="0"/>
      <w:jc w:val="both"/>
    </w:pPr>
    <w:rPr>
      <w:sz w:val="24"/>
      <w:szCs w:val="24"/>
    </w:rPr>
  </w:style>
  <w:style w:type="character" w:customStyle="1" w:styleId="157">
    <w:name w:val="Body Text Indent 3 Знак Знак"/>
    <w:link w:val="158"/>
    <w:qFormat/>
    <w:locked/>
    <w:uiPriority w:val="0"/>
    <w:rPr>
      <w:snapToGrid w:val="0"/>
      <w:sz w:val="24"/>
    </w:rPr>
  </w:style>
  <w:style w:type="paragraph" w:customStyle="1" w:styleId="158">
    <w:name w:val="Body Text Indent 3 Знак"/>
    <w:basedOn w:val="1"/>
    <w:link w:val="157"/>
    <w:qFormat/>
    <w:uiPriority w:val="0"/>
    <w:pPr>
      <w:tabs>
        <w:tab w:val="left" w:pos="7088"/>
      </w:tabs>
      <w:snapToGrid w:val="0"/>
      <w:spacing w:line="280" w:lineRule="exact"/>
      <w:ind w:firstLine="851"/>
      <w:jc w:val="both"/>
    </w:pPr>
    <w:rPr>
      <w:rFonts w:asciiTheme="minorHAnsi" w:hAnsiTheme="minorHAnsi" w:eastAsiaTheme="minorHAnsi" w:cstheme="minorBidi"/>
      <w:snapToGrid w:val="0"/>
      <w:sz w:val="24"/>
      <w:szCs w:val="22"/>
      <w:lang w:eastAsia="en-US"/>
    </w:rPr>
  </w:style>
  <w:style w:type="paragraph" w:customStyle="1" w:styleId="159">
    <w:name w:val="msonormalbullet2.gif"/>
    <w:basedOn w:val="1"/>
    <w:qFormat/>
    <w:uiPriority w:val="0"/>
    <w:pPr>
      <w:spacing w:before="100" w:beforeAutospacing="1" w:after="100" w:afterAutospacing="1"/>
    </w:pPr>
    <w:rPr>
      <w:sz w:val="24"/>
      <w:szCs w:val="24"/>
    </w:rPr>
  </w:style>
  <w:style w:type="character" w:customStyle="1" w:styleId="160">
    <w:name w:val="Font Style21"/>
    <w:qFormat/>
    <w:uiPriority w:val="0"/>
    <w:rPr>
      <w:rFonts w:hint="default" w:ascii="Times New Roman" w:hAnsi="Times New Roman" w:cs="Times New Roman"/>
      <w:sz w:val="26"/>
    </w:rPr>
  </w:style>
  <w:style w:type="paragraph" w:customStyle="1" w:styleId="161">
    <w:name w:val="msonormalbullet2gifcxsplast"/>
    <w:basedOn w:val="1"/>
    <w:qFormat/>
    <w:uiPriority w:val="0"/>
    <w:pPr>
      <w:spacing w:before="100" w:beforeAutospacing="1" w:after="100" w:afterAutospacing="1"/>
    </w:pPr>
    <w:rPr>
      <w:sz w:val="24"/>
      <w:szCs w:val="24"/>
    </w:rPr>
  </w:style>
  <w:style w:type="paragraph" w:customStyle="1" w:styleId="162">
    <w:name w:val="msonormalbullet2gifcxspmiddle"/>
    <w:basedOn w:val="1"/>
    <w:qFormat/>
    <w:uiPriority w:val="0"/>
    <w:pPr>
      <w:spacing w:before="100" w:beforeAutospacing="1" w:after="100" w:afterAutospacing="1"/>
    </w:pPr>
    <w:rPr>
      <w:sz w:val="24"/>
      <w:szCs w:val="24"/>
    </w:rPr>
  </w:style>
  <w:style w:type="character" w:customStyle="1" w:styleId="163">
    <w:name w:val="Основной текст + 9 pt"/>
    <w:qFormat/>
    <w:uiPriority w:val="0"/>
    <w:rPr>
      <w:rFonts w:ascii="Times New Roman" w:hAnsi="Times New Roman" w:eastAsia="Times New Roman" w:cs="Times New Roman"/>
      <w:color w:val="000000"/>
      <w:spacing w:val="0"/>
      <w:w w:val="100"/>
      <w:position w:val="0"/>
      <w:sz w:val="18"/>
      <w:szCs w:val="18"/>
      <w:u w:val="none"/>
      <w:lang w:val="ru-RU"/>
    </w:rPr>
  </w:style>
  <w:style w:type="paragraph" w:customStyle="1" w:styleId="164">
    <w:name w:val="Стиль3"/>
    <w:basedOn w:val="47"/>
    <w:qFormat/>
    <w:uiPriority w:val="0"/>
    <w:pPr>
      <w:widowControl w:val="0"/>
      <w:numPr>
        <w:ilvl w:val="2"/>
        <w:numId w:val="6"/>
      </w:numPr>
      <w:tabs>
        <w:tab w:val="left" w:pos="360"/>
        <w:tab w:val="left" w:pos="1430"/>
        <w:tab w:val="clear" w:pos="0"/>
      </w:tabs>
      <w:suppressAutoHyphens w:val="0"/>
      <w:adjustRightInd w:val="0"/>
      <w:ind w:left="283" w:firstLine="0"/>
      <w:textAlignment w:val="baseline"/>
    </w:pPr>
  </w:style>
  <w:style w:type="character" w:customStyle="1" w:styleId="165">
    <w:name w:val="Абзац списка Знак"/>
    <w:link w:val="149"/>
    <w:qFormat/>
    <w:locked/>
    <w:uiPriority w:val="99"/>
    <w:rPr>
      <w:rFonts w:ascii="Times New Roman" w:hAnsi="Times New Roman" w:eastAsia="Times New Roman" w:cs="Times New Roman"/>
      <w:sz w:val="20"/>
      <w:szCs w:val="20"/>
      <w:lang w:eastAsia="ru-RU"/>
    </w:rPr>
  </w:style>
  <w:style w:type="paragraph" w:styleId="166">
    <w:name w:val="No Spacing"/>
    <w:link w:val="345"/>
    <w:qFormat/>
    <w:uiPriority w:val="1"/>
    <w:rPr>
      <w:rFonts w:ascii="Times New Roman" w:hAnsi="Times New Roman" w:eastAsia="Times New Roman" w:cs="Times New Roman"/>
      <w:lang w:val="ru-RU" w:eastAsia="ru-RU" w:bidi="ar-SA"/>
    </w:rPr>
  </w:style>
  <w:style w:type="character" w:customStyle="1" w:styleId="167">
    <w:name w:val="Текст концевой сноски Знак"/>
    <w:basedOn w:val="11"/>
    <w:link w:val="26"/>
    <w:qFormat/>
    <w:uiPriority w:val="99"/>
    <w:rPr>
      <w:rFonts w:ascii="Times New Roman" w:hAnsi="Times New Roman" w:eastAsia="Times New Roman" w:cs="Times New Roman"/>
      <w:sz w:val="20"/>
      <w:szCs w:val="20"/>
      <w:lang w:eastAsia="ru-RU"/>
    </w:rPr>
  </w:style>
  <w:style w:type="paragraph" w:customStyle="1" w:styleId="168">
    <w:name w:val="САГ_Формы Заголовок 3 (б/н)"/>
    <w:basedOn w:val="1"/>
    <w:qFormat/>
    <w:uiPriority w:val="0"/>
    <w:pPr>
      <w:keepNext/>
      <w:tabs>
        <w:tab w:val="left" w:pos="1276"/>
      </w:tabs>
      <w:contextualSpacing/>
      <w:jc w:val="both"/>
      <w:outlineLvl w:val="2"/>
    </w:pPr>
    <w:rPr>
      <w:b/>
      <w:bCs/>
      <w:sz w:val="22"/>
      <w:szCs w:val="26"/>
    </w:rPr>
  </w:style>
  <w:style w:type="paragraph" w:customStyle="1" w:styleId="169">
    <w:name w:val="САГ_Формы Пункт 4 (б/н)"/>
    <w:basedOn w:val="1"/>
    <w:qFormat/>
    <w:uiPriority w:val="0"/>
    <w:pPr>
      <w:jc w:val="both"/>
    </w:pPr>
    <w:rPr>
      <w:sz w:val="22"/>
      <w:szCs w:val="24"/>
    </w:rPr>
  </w:style>
  <w:style w:type="paragraph" w:customStyle="1" w:styleId="170">
    <w:name w:val="САГ_Табличный_заголовки"/>
    <w:basedOn w:val="1"/>
    <w:qFormat/>
    <w:uiPriority w:val="99"/>
    <w:pPr>
      <w:keepNext/>
      <w:keepLines/>
      <w:jc w:val="center"/>
    </w:pPr>
    <w:rPr>
      <w:b/>
      <w:sz w:val="22"/>
      <w:szCs w:val="22"/>
    </w:rPr>
  </w:style>
  <w:style w:type="paragraph" w:customStyle="1" w:styleId="171">
    <w:name w:val="САГ_Табличный_по ширине"/>
    <w:basedOn w:val="1"/>
    <w:qFormat/>
    <w:uiPriority w:val="99"/>
    <w:pPr>
      <w:jc w:val="both"/>
    </w:pPr>
    <w:rPr>
      <w:sz w:val="22"/>
      <w:szCs w:val="24"/>
    </w:rPr>
  </w:style>
  <w:style w:type="paragraph" w:customStyle="1" w:styleId="172">
    <w:name w:val="Iniiaiie oaeno"/>
    <w:basedOn w:val="1"/>
    <w:qFormat/>
    <w:uiPriority w:val="0"/>
    <w:pPr>
      <w:suppressAutoHyphens/>
      <w:autoSpaceDE w:val="0"/>
      <w:autoSpaceDN w:val="0"/>
      <w:jc w:val="center"/>
    </w:pPr>
    <w:rPr>
      <w:rFonts w:ascii="Arial" w:hAnsi="Arial" w:cs="Arial"/>
      <w:sz w:val="24"/>
      <w:szCs w:val="24"/>
    </w:rPr>
  </w:style>
  <w:style w:type="paragraph" w:customStyle="1" w:styleId="173">
    <w:name w:val="Стиль5"/>
    <w:basedOn w:val="1"/>
    <w:qFormat/>
    <w:uiPriority w:val="0"/>
    <w:pPr>
      <w:ind w:firstLine="426"/>
      <w:jc w:val="center"/>
    </w:pPr>
    <w:rPr>
      <w:sz w:val="24"/>
    </w:rPr>
  </w:style>
  <w:style w:type="paragraph" w:customStyle="1" w:styleId="174">
    <w:name w:val="çàãîëîâîê 2"/>
    <w:basedOn w:val="1"/>
    <w:next w:val="1"/>
    <w:qFormat/>
    <w:uiPriority w:val="0"/>
    <w:pPr>
      <w:keepNext/>
      <w:widowControl w:val="0"/>
      <w:autoSpaceDE w:val="0"/>
      <w:autoSpaceDN w:val="0"/>
      <w:jc w:val="center"/>
    </w:pPr>
    <w:rPr>
      <w:b/>
      <w:sz w:val="32"/>
    </w:rPr>
  </w:style>
  <w:style w:type="paragraph" w:customStyle="1" w:styleId="175">
    <w:name w:val="Стиль7"/>
    <w:basedOn w:val="164"/>
    <w:qFormat/>
    <w:uiPriority w:val="0"/>
    <w:pPr>
      <w:widowControl/>
      <w:numPr>
        <w:ilvl w:val="0"/>
        <w:numId w:val="0"/>
      </w:numPr>
      <w:adjustRightInd/>
      <w:ind w:firstLine="426"/>
      <w:textAlignment w:val="auto"/>
    </w:pPr>
    <w:rPr>
      <w:sz w:val="20"/>
    </w:rPr>
  </w:style>
  <w:style w:type="paragraph" w:customStyle="1" w:styleId="176">
    <w:name w:val="Основной текст с отступом 31"/>
    <w:basedOn w:val="69"/>
    <w:qFormat/>
    <w:uiPriority w:val="0"/>
    <w:pPr>
      <w:spacing w:line="360" w:lineRule="auto"/>
      <w:ind w:firstLine="709"/>
    </w:pPr>
    <w:rPr>
      <w:rFonts w:ascii="Arial" w:hAnsi="Arial"/>
      <w:snapToGrid/>
    </w:rPr>
  </w:style>
  <w:style w:type="paragraph" w:customStyle="1" w:styleId="177">
    <w:name w:val="Текст_начало_2"/>
    <w:basedOn w:val="1"/>
    <w:qFormat/>
    <w:uiPriority w:val="0"/>
    <w:pPr>
      <w:spacing w:line="360" w:lineRule="exact"/>
      <w:jc w:val="both"/>
    </w:pPr>
    <w:rPr>
      <w:rFonts w:ascii="Arial" w:hAnsi="Arial"/>
      <w:sz w:val="24"/>
      <w:lang w:val="en-GB"/>
    </w:rPr>
  </w:style>
  <w:style w:type="paragraph" w:customStyle="1" w:styleId="178">
    <w:name w:val="Body Text 21"/>
    <w:basedOn w:val="69"/>
    <w:qFormat/>
    <w:uiPriority w:val="0"/>
    <w:pPr>
      <w:spacing w:line="360" w:lineRule="auto"/>
      <w:ind w:firstLine="851"/>
    </w:pPr>
    <w:rPr>
      <w:rFonts w:ascii="Arial" w:hAnsi="Arial"/>
      <w:snapToGrid/>
    </w:rPr>
  </w:style>
  <w:style w:type="paragraph" w:customStyle="1" w:styleId="179">
    <w:name w:val="FR5"/>
    <w:qFormat/>
    <w:uiPriority w:val="0"/>
    <w:pPr>
      <w:widowControl w:val="0"/>
      <w:autoSpaceDE w:val="0"/>
      <w:autoSpaceDN w:val="0"/>
      <w:adjustRightInd w:val="0"/>
      <w:spacing w:line="300" w:lineRule="auto"/>
    </w:pPr>
    <w:rPr>
      <w:rFonts w:ascii="Arial" w:hAnsi="Arial" w:eastAsia="Times New Roman" w:cs="Times New Roman"/>
      <w:b/>
      <w:sz w:val="22"/>
      <w:lang w:val="ru-RU" w:eastAsia="ru-RU" w:bidi="ar-SA"/>
    </w:rPr>
  </w:style>
  <w:style w:type="paragraph" w:customStyle="1" w:styleId="180">
    <w:name w:val="FR3"/>
    <w:qFormat/>
    <w:uiPriority w:val="0"/>
    <w:pPr>
      <w:widowControl w:val="0"/>
      <w:autoSpaceDE w:val="0"/>
      <w:autoSpaceDN w:val="0"/>
      <w:adjustRightInd w:val="0"/>
      <w:spacing w:line="300" w:lineRule="auto"/>
      <w:ind w:left="800" w:right="600"/>
      <w:jc w:val="center"/>
    </w:pPr>
    <w:rPr>
      <w:rFonts w:ascii="Times New Roman" w:hAnsi="Times New Roman" w:eastAsia="Times New Roman" w:cs="Times New Roman"/>
      <w:sz w:val="40"/>
      <w:lang w:val="ru-RU" w:eastAsia="ru-RU" w:bidi="ar-SA"/>
    </w:rPr>
  </w:style>
  <w:style w:type="paragraph" w:customStyle="1" w:styleId="181">
    <w:name w:val="FR4"/>
    <w:qFormat/>
    <w:uiPriority w:val="0"/>
    <w:pPr>
      <w:widowControl w:val="0"/>
      <w:autoSpaceDE w:val="0"/>
      <w:autoSpaceDN w:val="0"/>
      <w:adjustRightInd w:val="0"/>
      <w:spacing w:before="460"/>
      <w:ind w:left="2560"/>
    </w:pPr>
    <w:rPr>
      <w:rFonts w:ascii="Arial" w:hAnsi="Arial" w:eastAsia="Times New Roman" w:cs="Times New Roman"/>
      <w:sz w:val="32"/>
      <w:lang w:val="ru-RU" w:eastAsia="ru-RU" w:bidi="ar-SA"/>
    </w:rPr>
  </w:style>
  <w:style w:type="paragraph" w:customStyle="1" w:styleId="182">
    <w:name w:val="Заголовок 4.H4"/>
    <w:basedOn w:val="1"/>
    <w:next w:val="1"/>
    <w:qFormat/>
    <w:uiPriority w:val="0"/>
    <w:pPr>
      <w:spacing w:before="120"/>
    </w:pPr>
    <w:rPr>
      <w:sz w:val="22"/>
    </w:rPr>
  </w:style>
  <w:style w:type="paragraph" w:customStyle="1" w:styleId="183">
    <w:name w:val="Заголовок 5.H5"/>
    <w:basedOn w:val="1"/>
    <w:next w:val="1"/>
    <w:qFormat/>
    <w:uiPriority w:val="0"/>
    <w:pPr>
      <w:spacing w:before="120"/>
    </w:pPr>
    <w:rPr>
      <w:sz w:val="22"/>
    </w:rPr>
  </w:style>
  <w:style w:type="paragraph" w:customStyle="1" w:styleId="184">
    <w:name w:val="Заголовок 3.H3"/>
    <w:basedOn w:val="1"/>
    <w:next w:val="1"/>
    <w:qFormat/>
    <w:uiPriority w:val="0"/>
    <w:pPr>
      <w:spacing w:before="120"/>
    </w:pPr>
    <w:rPr>
      <w:sz w:val="22"/>
    </w:rPr>
  </w:style>
  <w:style w:type="paragraph" w:customStyle="1" w:styleId="185">
    <w:name w:val="Обычный (Web)"/>
    <w:basedOn w:val="1"/>
    <w:qFormat/>
    <w:uiPriority w:val="0"/>
    <w:pPr>
      <w:spacing w:before="100" w:beforeAutospacing="1" w:after="100" w:afterAutospacing="1"/>
    </w:pPr>
    <w:rPr>
      <w:sz w:val="24"/>
      <w:szCs w:val="24"/>
    </w:rPr>
  </w:style>
  <w:style w:type="paragraph" w:customStyle="1" w:styleId="186">
    <w:name w:val="Обычный + Первая строка:  1 см"/>
    <w:basedOn w:val="1"/>
    <w:link w:val="187"/>
    <w:qFormat/>
    <w:uiPriority w:val="0"/>
    <w:pPr>
      <w:keepNext/>
      <w:keepLines/>
      <w:widowControl w:val="0"/>
      <w:suppressLineNumbers/>
      <w:suppressAutoHyphens/>
      <w:spacing w:after="60"/>
      <w:ind w:firstLine="567"/>
      <w:jc w:val="both"/>
    </w:pPr>
    <w:rPr>
      <w:i/>
      <w:sz w:val="24"/>
      <w:szCs w:val="24"/>
    </w:rPr>
  </w:style>
  <w:style w:type="character" w:customStyle="1" w:styleId="187">
    <w:name w:val="Обычный + Первая строка:  1 см Знак"/>
    <w:link w:val="186"/>
    <w:qFormat/>
    <w:uiPriority w:val="0"/>
    <w:rPr>
      <w:rFonts w:ascii="Times New Roman" w:hAnsi="Times New Roman" w:eastAsia="Times New Roman" w:cs="Times New Roman"/>
      <w:i/>
      <w:sz w:val="24"/>
      <w:szCs w:val="24"/>
      <w:lang w:eastAsia="ru-RU"/>
    </w:rPr>
  </w:style>
  <w:style w:type="paragraph" w:customStyle="1" w:styleId="188">
    <w:name w:val="Тендерные данные"/>
    <w:basedOn w:val="1"/>
    <w:semiHidden/>
    <w:qFormat/>
    <w:uiPriority w:val="0"/>
    <w:pPr>
      <w:tabs>
        <w:tab w:val="left" w:pos="1985"/>
      </w:tabs>
      <w:spacing w:before="120" w:after="60"/>
      <w:jc w:val="both"/>
    </w:pPr>
    <w:rPr>
      <w:b/>
      <w:sz w:val="24"/>
    </w:rPr>
  </w:style>
  <w:style w:type="paragraph" w:customStyle="1" w:styleId="189">
    <w:name w:val="содержание2-11"/>
    <w:basedOn w:val="1"/>
    <w:qFormat/>
    <w:uiPriority w:val="0"/>
    <w:pPr>
      <w:spacing w:after="60"/>
      <w:jc w:val="both"/>
    </w:pPr>
    <w:rPr>
      <w:sz w:val="24"/>
      <w:szCs w:val="24"/>
    </w:rPr>
  </w:style>
  <w:style w:type="paragraph" w:customStyle="1" w:styleId="190">
    <w:name w:val="текст1"/>
    <w:qFormat/>
    <w:uiPriority w:val="0"/>
    <w:pPr>
      <w:autoSpaceDE w:val="0"/>
      <w:autoSpaceDN w:val="0"/>
      <w:adjustRightInd w:val="0"/>
      <w:ind w:firstLine="397"/>
      <w:jc w:val="both"/>
    </w:pPr>
    <w:rPr>
      <w:rFonts w:ascii="SchoolBookC" w:hAnsi="SchoolBookC" w:eastAsia="Times New Roman" w:cs="Times New Roman"/>
      <w:sz w:val="24"/>
      <w:lang w:val="ru-RU" w:eastAsia="ru-RU" w:bidi="ar-SA"/>
    </w:rPr>
  </w:style>
  <w:style w:type="paragraph" w:customStyle="1" w:styleId="191">
    <w:name w:val="втяжка"/>
    <w:basedOn w:val="190"/>
    <w:next w:val="190"/>
    <w:qFormat/>
    <w:uiPriority w:val="0"/>
    <w:pPr>
      <w:tabs>
        <w:tab w:val="left" w:pos="567"/>
      </w:tabs>
      <w:spacing w:before="57"/>
      <w:ind w:left="567" w:hanging="567"/>
    </w:pPr>
  </w:style>
  <w:style w:type="paragraph" w:customStyle="1" w:styleId="192">
    <w:name w:val="текст таблицы"/>
    <w:basedOn w:val="1"/>
    <w:qFormat/>
    <w:uiPriority w:val="0"/>
    <w:pPr>
      <w:spacing w:before="120"/>
      <w:ind w:right="-102"/>
    </w:pPr>
    <w:rPr>
      <w:sz w:val="24"/>
      <w:szCs w:val="24"/>
    </w:rPr>
  </w:style>
  <w:style w:type="character" w:customStyle="1" w:styleId="193">
    <w:name w:val="Основной шрифт"/>
    <w:semiHidden/>
    <w:qFormat/>
    <w:uiPriority w:val="0"/>
  </w:style>
  <w:style w:type="paragraph" w:customStyle="1" w:styleId="194">
    <w:name w:val="заг_центр"/>
    <w:basedOn w:val="1"/>
    <w:qFormat/>
    <w:uiPriority w:val="0"/>
    <w:pPr>
      <w:autoSpaceDE w:val="0"/>
      <w:autoSpaceDN w:val="0"/>
      <w:adjustRightInd w:val="0"/>
      <w:spacing w:before="57"/>
      <w:ind w:left="283" w:right="283"/>
      <w:jc w:val="center"/>
    </w:pPr>
    <w:rPr>
      <w:rFonts w:ascii="AvantGardeGothicC" w:hAnsi="AvantGardeGothicC"/>
      <w:b/>
      <w:i/>
      <w:sz w:val="24"/>
    </w:rPr>
  </w:style>
  <w:style w:type="paragraph" w:customStyle="1" w:styleId="195">
    <w:name w:val="Обычный11"/>
    <w:qFormat/>
    <w:uiPriority w:val="0"/>
    <w:rPr>
      <w:rFonts w:ascii="NTHelvetica/Cyrillic" w:hAnsi="NTHelvetica/Cyrillic" w:eastAsia="Times New Roman" w:cs="Times New Roman"/>
      <w:color w:val="000080"/>
      <w:sz w:val="16"/>
      <w:lang w:val="ru-RU" w:eastAsia="ru-RU" w:bidi="ar-SA"/>
    </w:rPr>
  </w:style>
  <w:style w:type="paragraph" w:customStyle="1" w:styleId="196">
    <w:name w:val="Text Normal"/>
    <w:basedOn w:val="1"/>
    <w:qFormat/>
    <w:uiPriority w:val="0"/>
    <w:pPr>
      <w:tabs>
        <w:tab w:val="left" w:pos="1170"/>
      </w:tabs>
      <w:ind w:left="360" w:right="448" w:firstLine="540"/>
      <w:jc w:val="both"/>
    </w:pPr>
    <w:rPr>
      <w:rFonts w:ascii="TimesDL" w:hAnsi="TimesDL"/>
      <w:lang w:val="en-GB"/>
    </w:rPr>
  </w:style>
  <w:style w:type="character" w:customStyle="1" w:styleId="197">
    <w:name w:val="sZamNoBreakSpace"/>
    <w:qFormat/>
    <w:uiPriority w:val="0"/>
  </w:style>
  <w:style w:type="paragraph" w:customStyle="1" w:styleId="198">
    <w:name w:val="Style First line:  127 cm"/>
    <w:basedOn w:val="1"/>
    <w:qFormat/>
    <w:uiPriority w:val="0"/>
    <w:pPr>
      <w:spacing w:before="120"/>
      <w:ind w:firstLine="720"/>
      <w:jc w:val="both"/>
    </w:pPr>
    <w:rPr>
      <w:rFonts w:ascii="Arial" w:hAnsi="Arial"/>
      <w:sz w:val="24"/>
      <w:lang w:eastAsia="en-US"/>
    </w:rPr>
  </w:style>
  <w:style w:type="paragraph" w:customStyle="1" w:styleId="199">
    <w:name w:val="2-11"/>
    <w:basedOn w:val="1"/>
    <w:qFormat/>
    <w:uiPriority w:val="0"/>
    <w:pPr>
      <w:spacing w:after="60"/>
      <w:jc w:val="both"/>
    </w:pPr>
    <w:rPr>
      <w:sz w:val="24"/>
      <w:szCs w:val="24"/>
    </w:rPr>
  </w:style>
  <w:style w:type="paragraph" w:customStyle="1" w:styleId="200">
    <w:name w:val="Знак Знак Знак Знак"/>
    <w:basedOn w:val="1"/>
    <w:qFormat/>
    <w:uiPriority w:val="0"/>
    <w:pPr>
      <w:spacing w:after="160" w:line="240" w:lineRule="exact"/>
    </w:pPr>
    <w:rPr>
      <w:rFonts w:ascii="Verdana" w:hAnsi="Verdana"/>
      <w:sz w:val="24"/>
      <w:szCs w:val="24"/>
      <w:lang w:val="en-US" w:eastAsia="en-US"/>
    </w:rPr>
  </w:style>
  <w:style w:type="paragraph" w:customStyle="1" w:styleId="201">
    <w:name w:val="Спис_заголовок"/>
    <w:basedOn w:val="1"/>
    <w:next w:val="44"/>
    <w:qFormat/>
    <w:uiPriority w:val="0"/>
    <w:pPr>
      <w:keepNext/>
      <w:keepLines/>
      <w:numPr>
        <w:ilvl w:val="0"/>
        <w:numId w:val="2"/>
      </w:numPr>
      <w:tabs>
        <w:tab w:val="left" w:pos="0"/>
      </w:tabs>
      <w:spacing w:before="60" w:after="60"/>
      <w:jc w:val="both"/>
    </w:pPr>
    <w:rPr>
      <w:sz w:val="22"/>
    </w:rPr>
  </w:style>
  <w:style w:type="paragraph" w:customStyle="1" w:styleId="202">
    <w:name w:val="Номер1"/>
    <w:basedOn w:val="44"/>
    <w:qFormat/>
    <w:uiPriority w:val="0"/>
    <w:pPr>
      <w:numPr>
        <w:ilvl w:val="2"/>
      </w:numPr>
      <w:spacing w:before="40" w:after="40"/>
    </w:pPr>
    <w:rPr>
      <w:sz w:val="22"/>
      <w:szCs w:val="20"/>
    </w:rPr>
  </w:style>
  <w:style w:type="paragraph" w:customStyle="1" w:styleId="203">
    <w:name w:val="Текст1"/>
    <w:basedOn w:val="1"/>
    <w:qFormat/>
    <w:uiPriority w:val="0"/>
    <w:pPr>
      <w:spacing w:line="360" w:lineRule="auto"/>
      <w:ind w:firstLine="720"/>
      <w:jc w:val="both"/>
    </w:pPr>
    <w:rPr>
      <w:sz w:val="28"/>
    </w:rPr>
  </w:style>
  <w:style w:type="paragraph" w:customStyle="1" w:styleId="204">
    <w:name w:val="Основной13"/>
    <w:basedOn w:val="38"/>
    <w:qFormat/>
    <w:uiPriority w:val="0"/>
    <w:pPr>
      <w:widowControl w:val="0"/>
      <w:spacing w:after="120"/>
      <w:ind w:firstLine="720"/>
    </w:pPr>
    <w:rPr>
      <w:spacing w:val="0"/>
      <w:sz w:val="26"/>
    </w:rPr>
  </w:style>
  <w:style w:type="paragraph" w:customStyle="1" w:styleId="205">
    <w:name w:val="Знак11"/>
    <w:basedOn w:val="1"/>
    <w:qFormat/>
    <w:uiPriority w:val="0"/>
    <w:pPr>
      <w:spacing w:before="100" w:beforeAutospacing="1" w:after="100" w:afterAutospacing="1"/>
    </w:pPr>
    <w:rPr>
      <w:rFonts w:ascii="Tahoma" w:hAnsi="Tahoma"/>
      <w:lang w:val="en-US" w:eastAsia="en-US"/>
    </w:rPr>
  </w:style>
  <w:style w:type="paragraph" w:customStyle="1" w:styleId="206">
    <w:name w:val="03zagolovok2"/>
    <w:basedOn w:val="1"/>
    <w:qFormat/>
    <w:uiPriority w:val="0"/>
    <w:pPr>
      <w:keepNext/>
      <w:spacing w:before="360" w:after="120" w:line="360" w:lineRule="atLeast"/>
      <w:outlineLvl w:val="1"/>
    </w:pPr>
    <w:rPr>
      <w:rFonts w:ascii="GaramondC" w:hAnsi="GaramondC"/>
      <w:b/>
      <w:color w:val="000000"/>
      <w:sz w:val="28"/>
      <w:szCs w:val="28"/>
    </w:rPr>
  </w:style>
  <w:style w:type="paragraph" w:customStyle="1" w:styleId="207">
    <w:name w:val="aji5m0_0"/>
    <w:basedOn w:val="1"/>
    <w:qFormat/>
    <w:uiPriority w:val="0"/>
    <w:pPr>
      <w:ind w:firstLine="600"/>
      <w:jc w:val="both"/>
    </w:pPr>
    <w:rPr>
      <w:sz w:val="24"/>
      <w:szCs w:val="24"/>
    </w:rPr>
  </w:style>
  <w:style w:type="paragraph" w:customStyle="1" w:styleId="208">
    <w:name w:val="aji5m1_1"/>
    <w:basedOn w:val="1"/>
    <w:qFormat/>
    <w:uiPriority w:val="0"/>
    <w:pPr>
      <w:spacing w:before="120" w:after="120"/>
      <w:ind w:left="120" w:right="120" w:firstLine="600"/>
      <w:jc w:val="both"/>
    </w:pPr>
    <w:rPr>
      <w:b/>
      <w:bCs/>
      <w:color w:val="004761"/>
      <w:sz w:val="24"/>
      <w:szCs w:val="24"/>
    </w:rPr>
  </w:style>
  <w:style w:type="paragraph" w:customStyle="1" w:styleId="209">
    <w:name w:val="Îñíîâí"/>
    <w:basedOn w:val="1"/>
    <w:qFormat/>
    <w:uiPriority w:val="0"/>
    <w:pPr>
      <w:widowControl w:val="0"/>
      <w:suppressAutoHyphens/>
      <w:jc w:val="both"/>
    </w:pPr>
    <w:rPr>
      <w:rFonts w:ascii="Arial" w:hAnsi="Arial"/>
      <w:sz w:val="22"/>
    </w:rPr>
  </w:style>
  <w:style w:type="character" w:customStyle="1" w:styleId="210">
    <w:name w:val="WW8Num2z0"/>
    <w:qFormat/>
    <w:uiPriority w:val="0"/>
    <w:rPr>
      <w:rFonts w:ascii="Symbol" w:hAnsi="Symbol"/>
    </w:rPr>
  </w:style>
  <w:style w:type="character" w:customStyle="1" w:styleId="211">
    <w:name w:val="WW8Num2z1"/>
    <w:qFormat/>
    <w:uiPriority w:val="0"/>
    <w:rPr>
      <w:rFonts w:ascii="Courier New" w:hAnsi="Courier New"/>
    </w:rPr>
  </w:style>
  <w:style w:type="character" w:customStyle="1" w:styleId="212">
    <w:name w:val="WW8Num2z2"/>
    <w:qFormat/>
    <w:uiPriority w:val="0"/>
    <w:rPr>
      <w:rFonts w:ascii="Wingdings" w:hAnsi="Wingdings"/>
    </w:rPr>
  </w:style>
  <w:style w:type="character" w:customStyle="1" w:styleId="213">
    <w:name w:val="WW8Num2z3"/>
    <w:qFormat/>
    <w:uiPriority w:val="0"/>
    <w:rPr>
      <w:rFonts w:ascii="Wingdings" w:hAnsi="Wingdings"/>
    </w:rPr>
  </w:style>
  <w:style w:type="character" w:customStyle="1" w:styleId="214">
    <w:name w:val="WW8Num3z0"/>
    <w:qFormat/>
    <w:uiPriority w:val="0"/>
    <w:rPr>
      <w:rFonts w:ascii="Symbol" w:hAnsi="Symbol"/>
    </w:rPr>
  </w:style>
  <w:style w:type="character" w:customStyle="1" w:styleId="215">
    <w:name w:val="WW8Num3z1"/>
    <w:qFormat/>
    <w:uiPriority w:val="0"/>
    <w:rPr>
      <w:rFonts w:ascii="Courier New" w:hAnsi="Courier New" w:cs="Courier New"/>
    </w:rPr>
  </w:style>
  <w:style w:type="character" w:customStyle="1" w:styleId="216">
    <w:name w:val="WW8Num3z2"/>
    <w:qFormat/>
    <w:uiPriority w:val="0"/>
    <w:rPr>
      <w:rFonts w:ascii="Wingdings" w:hAnsi="Wingdings"/>
    </w:rPr>
  </w:style>
  <w:style w:type="character" w:customStyle="1" w:styleId="217">
    <w:name w:val="WW8Num3z3"/>
    <w:qFormat/>
    <w:uiPriority w:val="0"/>
    <w:rPr>
      <w:rFonts w:ascii="Wingdings" w:hAnsi="Wingdings"/>
    </w:rPr>
  </w:style>
  <w:style w:type="character" w:customStyle="1" w:styleId="218">
    <w:name w:val="Основной шрифт абзаца4"/>
    <w:qFormat/>
    <w:uiPriority w:val="0"/>
  </w:style>
  <w:style w:type="character" w:customStyle="1" w:styleId="219">
    <w:name w:val="Absatz-Standardschriftart"/>
    <w:qFormat/>
    <w:uiPriority w:val="0"/>
  </w:style>
  <w:style w:type="character" w:customStyle="1" w:styleId="220">
    <w:name w:val="WW-Absatz-Standardschriftart"/>
    <w:qFormat/>
    <w:uiPriority w:val="0"/>
  </w:style>
  <w:style w:type="character" w:customStyle="1" w:styleId="221">
    <w:name w:val="Основной шрифт абзаца3"/>
    <w:qFormat/>
    <w:uiPriority w:val="0"/>
  </w:style>
  <w:style w:type="character" w:customStyle="1" w:styleId="222">
    <w:name w:val="Основной шрифт абзаца2"/>
    <w:qFormat/>
    <w:uiPriority w:val="0"/>
  </w:style>
  <w:style w:type="character" w:customStyle="1" w:styleId="223">
    <w:name w:val="WW-Absatz-Standardschriftart1"/>
    <w:qFormat/>
    <w:uiPriority w:val="0"/>
  </w:style>
  <w:style w:type="character" w:customStyle="1" w:styleId="224">
    <w:name w:val="WW-Absatz-Standardschriftart11"/>
    <w:qFormat/>
    <w:uiPriority w:val="0"/>
  </w:style>
  <w:style w:type="character" w:customStyle="1" w:styleId="225">
    <w:name w:val="WW8Num1z0"/>
    <w:qFormat/>
    <w:uiPriority w:val="0"/>
    <w:rPr>
      <w:rFonts w:ascii="Symbol" w:hAnsi="Symbol"/>
    </w:rPr>
  </w:style>
  <w:style w:type="character" w:customStyle="1" w:styleId="226">
    <w:name w:val="WW8Num1z1"/>
    <w:qFormat/>
    <w:uiPriority w:val="0"/>
    <w:rPr>
      <w:rFonts w:ascii="Courier New" w:hAnsi="Courier New" w:cs="Courier New"/>
    </w:rPr>
  </w:style>
  <w:style w:type="character" w:customStyle="1" w:styleId="227">
    <w:name w:val="WW8Num1z2"/>
    <w:qFormat/>
    <w:uiPriority w:val="0"/>
    <w:rPr>
      <w:rFonts w:ascii="Wingdings" w:hAnsi="Wingdings"/>
    </w:rPr>
  </w:style>
  <w:style w:type="character" w:customStyle="1" w:styleId="228">
    <w:name w:val="WW8Num4z0"/>
    <w:qFormat/>
    <w:uiPriority w:val="0"/>
    <w:rPr>
      <w:rFonts w:ascii="Symbol" w:hAnsi="Symbol"/>
    </w:rPr>
  </w:style>
  <w:style w:type="character" w:customStyle="1" w:styleId="229">
    <w:name w:val="WW8Num4z1"/>
    <w:qFormat/>
    <w:uiPriority w:val="0"/>
    <w:rPr>
      <w:rFonts w:ascii="Courier New" w:hAnsi="Courier New" w:cs="Courier New"/>
    </w:rPr>
  </w:style>
  <w:style w:type="character" w:customStyle="1" w:styleId="230">
    <w:name w:val="WW8Num4z2"/>
    <w:qFormat/>
    <w:uiPriority w:val="0"/>
    <w:rPr>
      <w:rFonts w:ascii="Wingdings" w:hAnsi="Wingdings"/>
    </w:rPr>
  </w:style>
  <w:style w:type="character" w:customStyle="1" w:styleId="231">
    <w:name w:val="WW8Num5z0"/>
    <w:qFormat/>
    <w:uiPriority w:val="0"/>
    <w:rPr>
      <w:rFonts w:ascii="Symbol" w:hAnsi="Symbol"/>
    </w:rPr>
  </w:style>
  <w:style w:type="character" w:customStyle="1" w:styleId="232">
    <w:name w:val="WW8Num5z1"/>
    <w:qFormat/>
    <w:uiPriority w:val="0"/>
    <w:rPr>
      <w:rFonts w:ascii="Courier New" w:hAnsi="Courier New"/>
    </w:rPr>
  </w:style>
  <w:style w:type="character" w:customStyle="1" w:styleId="233">
    <w:name w:val="WW8Num5z2"/>
    <w:qFormat/>
    <w:uiPriority w:val="0"/>
    <w:rPr>
      <w:rFonts w:ascii="Wingdings" w:hAnsi="Wingdings"/>
    </w:rPr>
  </w:style>
  <w:style w:type="character" w:customStyle="1" w:styleId="234">
    <w:name w:val="WW8Num6z0"/>
    <w:qFormat/>
    <w:uiPriority w:val="0"/>
    <w:rPr>
      <w:rFonts w:ascii="Symbol" w:hAnsi="Symbol"/>
    </w:rPr>
  </w:style>
  <w:style w:type="character" w:customStyle="1" w:styleId="235">
    <w:name w:val="WW8Num6z1"/>
    <w:qFormat/>
    <w:uiPriority w:val="0"/>
    <w:rPr>
      <w:rFonts w:ascii="Courier New" w:hAnsi="Courier New" w:cs="Courier New"/>
    </w:rPr>
  </w:style>
  <w:style w:type="character" w:customStyle="1" w:styleId="236">
    <w:name w:val="WW8Num6z2"/>
    <w:qFormat/>
    <w:uiPriority w:val="0"/>
    <w:rPr>
      <w:rFonts w:ascii="Wingdings" w:hAnsi="Wingdings"/>
    </w:rPr>
  </w:style>
  <w:style w:type="character" w:customStyle="1" w:styleId="237">
    <w:name w:val="WW8Num7z0"/>
    <w:qFormat/>
    <w:uiPriority w:val="0"/>
    <w:rPr>
      <w:rFonts w:ascii="Symbol" w:hAnsi="Symbol"/>
    </w:rPr>
  </w:style>
  <w:style w:type="character" w:customStyle="1" w:styleId="238">
    <w:name w:val="WW8Num7z1"/>
    <w:qFormat/>
    <w:uiPriority w:val="0"/>
    <w:rPr>
      <w:rFonts w:ascii="Courier New" w:hAnsi="Courier New"/>
    </w:rPr>
  </w:style>
  <w:style w:type="character" w:customStyle="1" w:styleId="239">
    <w:name w:val="WW8Num7z2"/>
    <w:qFormat/>
    <w:uiPriority w:val="0"/>
    <w:rPr>
      <w:rFonts w:ascii="Wingdings" w:hAnsi="Wingdings"/>
    </w:rPr>
  </w:style>
  <w:style w:type="character" w:customStyle="1" w:styleId="240">
    <w:name w:val="WW8Num8z0"/>
    <w:qFormat/>
    <w:uiPriority w:val="0"/>
    <w:rPr>
      <w:rFonts w:ascii="Symbol" w:hAnsi="Symbol"/>
    </w:rPr>
  </w:style>
  <w:style w:type="character" w:customStyle="1" w:styleId="241">
    <w:name w:val="WW8Num8z1"/>
    <w:qFormat/>
    <w:uiPriority w:val="0"/>
    <w:rPr>
      <w:rFonts w:ascii="Courier New" w:hAnsi="Courier New"/>
    </w:rPr>
  </w:style>
  <w:style w:type="character" w:customStyle="1" w:styleId="242">
    <w:name w:val="WW8Num8z2"/>
    <w:qFormat/>
    <w:uiPriority w:val="0"/>
    <w:rPr>
      <w:rFonts w:ascii="Wingdings" w:hAnsi="Wingdings"/>
    </w:rPr>
  </w:style>
  <w:style w:type="character" w:customStyle="1" w:styleId="243">
    <w:name w:val="WW8Num9z0"/>
    <w:qFormat/>
    <w:uiPriority w:val="0"/>
    <w:rPr>
      <w:rFonts w:ascii="Symbol" w:hAnsi="Symbol"/>
    </w:rPr>
  </w:style>
  <w:style w:type="character" w:customStyle="1" w:styleId="244">
    <w:name w:val="WW8Num9z1"/>
    <w:qFormat/>
    <w:uiPriority w:val="0"/>
    <w:rPr>
      <w:rFonts w:ascii="Courier New" w:hAnsi="Courier New" w:cs="Courier New"/>
    </w:rPr>
  </w:style>
  <w:style w:type="character" w:customStyle="1" w:styleId="245">
    <w:name w:val="WW8Num9z2"/>
    <w:qFormat/>
    <w:uiPriority w:val="0"/>
    <w:rPr>
      <w:rFonts w:ascii="Wingdings" w:hAnsi="Wingdings"/>
    </w:rPr>
  </w:style>
  <w:style w:type="character" w:customStyle="1" w:styleId="246">
    <w:name w:val="WW8Num10z1"/>
    <w:qFormat/>
    <w:uiPriority w:val="0"/>
    <w:rPr>
      <w:rFonts w:ascii="Times New Roman" w:hAnsi="Times New Roman" w:eastAsia="Times New Roman" w:cs="Times New Roman"/>
    </w:rPr>
  </w:style>
  <w:style w:type="character" w:customStyle="1" w:styleId="247">
    <w:name w:val="WW8Num11z0"/>
    <w:qFormat/>
    <w:uiPriority w:val="0"/>
    <w:rPr>
      <w:rFonts w:ascii="Symbol" w:hAnsi="Symbol"/>
    </w:rPr>
  </w:style>
  <w:style w:type="character" w:customStyle="1" w:styleId="248">
    <w:name w:val="WW8Num11z1"/>
    <w:qFormat/>
    <w:uiPriority w:val="0"/>
    <w:rPr>
      <w:rFonts w:ascii="Courier New" w:hAnsi="Courier New" w:cs="Courier New"/>
    </w:rPr>
  </w:style>
  <w:style w:type="character" w:customStyle="1" w:styleId="249">
    <w:name w:val="WW8Num11z2"/>
    <w:qFormat/>
    <w:uiPriority w:val="0"/>
    <w:rPr>
      <w:rFonts w:ascii="Wingdings" w:hAnsi="Wingdings"/>
    </w:rPr>
  </w:style>
  <w:style w:type="character" w:customStyle="1" w:styleId="250">
    <w:name w:val="WW8Num12z0"/>
    <w:qFormat/>
    <w:uiPriority w:val="0"/>
    <w:rPr>
      <w:rFonts w:ascii="Symbol" w:hAnsi="Symbol"/>
    </w:rPr>
  </w:style>
  <w:style w:type="character" w:customStyle="1" w:styleId="251">
    <w:name w:val="WW8Num12z1"/>
    <w:qFormat/>
    <w:uiPriority w:val="0"/>
    <w:rPr>
      <w:rFonts w:ascii="Courier New" w:hAnsi="Courier New" w:cs="Courier New"/>
    </w:rPr>
  </w:style>
  <w:style w:type="character" w:customStyle="1" w:styleId="252">
    <w:name w:val="WW8Num12z2"/>
    <w:qFormat/>
    <w:uiPriority w:val="0"/>
    <w:rPr>
      <w:rFonts w:ascii="Wingdings" w:hAnsi="Wingdings"/>
    </w:rPr>
  </w:style>
  <w:style w:type="character" w:customStyle="1" w:styleId="253">
    <w:name w:val="WW8Num13z0"/>
    <w:qFormat/>
    <w:uiPriority w:val="0"/>
    <w:rPr>
      <w:rFonts w:ascii="Symbol" w:hAnsi="Symbol"/>
    </w:rPr>
  </w:style>
  <w:style w:type="character" w:customStyle="1" w:styleId="254">
    <w:name w:val="WW8Num13z1"/>
    <w:qFormat/>
    <w:uiPriority w:val="0"/>
    <w:rPr>
      <w:rFonts w:ascii="Courier New" w:hAnsi="Courier New" w:cs="Courier New"/>
    </w:rPr>
  </w:style>
  <w:style w:type="character" w:customStyle="1" w:styleId="255">
    <w:name w:val="WW8Num13z2"/>
    <w:qFormat/>
    <w:uiPriority w:val="0"/>
    <w:rPr>
      <w:rFonts w:ascii="Wingdings" w:hAnsi="Wingdings"/>
    </w:rPr>
  </w:style>
  <w:style w:type="character" w:customStyle="1" w:styleId="256">
    <w:name w:val="WW8Num14z0"/>
    <w:qFormat/>
    <w:uiPriority w:val="0"/>
    <w:rPr>
      <w:rFonts w:ascii="Symbol" w:hAnsi="Symbol"/>
    </w:rPr>
  </w:style>
  <w:style w:type="character" w:customStyle="1" w:styleId="257">
    <w:name w:val="WW8Num14z1"/>
    <w:qFormat/>
    <w:uiPriority w:val="0"/>
    <w:rPr>
      <w:rFonts w:ascii="Courier New" w:hAnsi="Courier New" w:cs="Courier New"/>
    </w:rPr>
  </w:style>
  <w:style w:type="character" w:customStyle="1" w:styleId="258">
    <w:name w:val="WW8Num14z2"/>
    <w:qFormat/>
    <w:uiPriority w:val="0"/>
    <w:rPr>
      <w:rFonts w:ascii="Wingdings" w:hAnsi="Wingdings"/>
    </w:rPr>
  </w:style>
  <w:style w:type="character" w:customStyle="1" w:styleId="259">
    <w:name w:val="WW8Num15z0"/>
    <w:qFormat/>
    <w:uiPriority w:val="0"/>
    <w:rPr>
      <w:rFonts w:ascii="Symbol" w:hAnsi="Symbol"/>
    </w:rPr>
  </w:style>
  <w:style w:type="character" w:customStyle="1" w:styleId="260">
    <w:name w:val="WW8Num15z1"/>
    <w:qFormat/>
    <w:uiPriority w:val="0"/>
    <w:rPr>
      <w:rFonts w:ascii="Courier New" w:hAnsi="Courier New" w:cs="Courier New"/>
    </w:rPr>
  </w:style>
  <w:style w:type="character" w:customStyle="1" w:styleId="261">
    <w:name w:val="WW8Num15z2"/>
    <w:qFormat/>
    <w:uiPriority w:val="0"/>
    <w:rPr>
      <w:rFonts w:ascii="Wingdings" w:hAnsi="Wingdings"/>
    </w:rPr>
  </w:style>
  <w:style w:type="character" w:customStyle="1" w:styleId="262">
    <w:name w:val="WW8Num16z0"/>
    <w:qFormat/>
    <w:uiPriority w:val="0"/>
    <w:rPr>
      <w:rFonts w:ascii="Symbol" w:hAnsi="Symbol"/>
    </w:rPr>
  </w:style>
  <w:style w:type="character" w:customStyle="1" w:styleId="263">
    <w:name w:val="WW8Num16z1"/>
    <w:qFormat/>
    <w:uiPriority w:val="0"/>
    <w:rPr>
      <w:rFonts w:ascii="Courier New" w:hAnsi="Courier New" w:cs="Courier New"/>
    </w:rPr>
  </w:style>
  <w:style w:type="character" w:customStyle="1" w:styleId="264">
    <w:name w:val="WW8Num16z2"/>
    <w:qFormat/>
    <w:uiPriority w:val="0"/>
    <w:rPr>
      <w:rFonts w:ascii="Wingdings" w:hAnsi="Wingdings"/>
    </w:rPr>
  </w:style>
  <w:style w:type="character" w:customStyle="1" w:styleId="265">
    <w:name w:val="WW8Num17z0"/>
    <w:qFormat/>
    <w:uiPriority w:val="0"/>
    <w:rPr>
      <w:rFonts w:ascii="Symbol" w:hAnsi="Symbol"/>
    </w:rPr>
  </w:style>
  <w:style w:type="character" w:customStyle="1" w:styleId="266">
    <w:name w:val="WW8Num17z1"/>
    <w:qFormat/>
    <w:uiPriority w:val="0"/>
    <w:rPr>
      <w:rFonts w:ascii="Courier New" w:hAnsi="Courier New"/>
    </w:rPr>
  </w:style>
  <w:style w:type="character" w:customStyle="1" w:styleId="267">
    <w:name w:val="WW8Num17z2"/>
    <w:qFormat/>
    <w:uiPriority w:val="0"/>
    <w:rPr>
      <w:rFonts w:ascii="Wingdings" w:hAnsi="Wingdings"/>
    </w:rPr>
  </w:style>
  <w:style w:type="character" w:customStyle="1" w:styleId="268">
    <w:name w:val="WW8Num18z0"/>
    <w:qFormat/>
    <w:uiPriority w:val="0"/>
    <w:rPr>
      <w:rFonts w:ascii="Symbol" w:hAnsi="Symbol"/>
    </w:rPr>
  </w:style>
  <w:style w:type="character" w:customStyle="1" w:styleId="269">
    <w:name w:val="WW8Num18z1"/>
    <w:qFormat/>
    <w:uiPriority w:val="0"/>
    <w:rPr>
      <w:rFonts w:ascii="Courier New" w:hAnsi="Courier New" w:cs="Courier New"/>
    </w:rPr>
  </w:style>
  <w:style w:type="character" w:customStyle="1" w:styleId="270">
    <w:name w:val="WW8Num18z2"/>
    <w:qFormat/>
    <w:uiPriority w:val="0"/>
    <w:rPr>
      <w:rFonts w:ascii="Wingdings" w:hAnsi="Wingdings"/>
    </w:rPr>
  </w:style>
  <w:style w:type="character" w:customStyle="1" w:styleId="271">
    <w:name w:val="WW8Num19z0"/>
    <w:qFormat/>
    <w:uiPriority w:val="0"/>
    <w:rPr>
      <w:rFonts w:ascii="Symbol" w:hAnsi="Symbol"/>
    </w:rPr>
  </w:style>
  <w:style w:type="character" w:customStyle="1" w:styleId="272">
    <w:name w:val="WW8Num19z1"/>
    <w:qFormat/>
    <w:uiPriority w:val="0"/>
    <w:rPr>
      <w:rFonts w:ascii="Courier New" w:hAnsi="Courier New" w:cs="Courier New"/>
    </w:rPr>
  </w:style>
  <w:style w:type="character" w:customStyle="1" w:styleId="273">
    <w:name w:val="WW8Num19z2"/>
    <w:qFormat/>
    <w:uiPriority w:val="0"/>
    <w:rPr>
      <w:rFonts w:ascii="Wingdings" w:hAnsi="Wingdings"/>
    </w:rPr>
  </w:style>
  <w:style w:type="character" w:customStyle="1" w:styleId="274">
    <w:name w:val="WW8Num20z0"/>
    <w:qFormat/>
    <w:uiPriority w:val="0"/>
    <w:rPr>
      <w:rFonts w:ascii="Symbol" w:hAnsi="Symbol"/>
    </w:rPr>
  </w:style>
  <w:style w:type="character" w:customStyle="1" w:styleId="275">
    <w:name w:val="WW8Num20z1"/>
    <w:qFormat/>
    <w:uiPriority w:val="0"/>
    <w:rPr>
      <w:rFonts w:ascii="Courier New" w:hAnsi="Courier New"/>
    </w:rPr>
  </w:style>
  <w:style w:type="character" w:customStyle="1" w:styleId="276">
    <w:name w:val="WW8Num20z2"/>
    <w:qFormat/>
    <w:uiPriority w:val="0"/>
    <w:rPr>
      <w:rFonts w:ascii="Wingdings" w:hAnsi="Wingdings"/>
    </w:rPr>
  </w:style>
  <w:style w:type="character" w:customStyle="1" w:styleId="277">
    <w:name w:val="Основной шрифт абзаца1"/>
    <w:qFormat/>
    <w:uiPriority w:val="0"/>
  </w:style>
  <w:style w:type="character" w:customStyle="1" w:styleId="278">
    <w:name w:val="std стиль65 стиль66"/>
    <w:qFormat/>
    <w:uiPriority w:val="0"/>
  </w:style>
  <w:style w:type="character" w:customStyle="1" w:styleId="279">
    <w:name w:val="Маркеры списка"/>
    <w:qFormat/>
    <w:uiPriority w:val="0"/>
    <w:rPr>
      <w:rFonts w:ascii="StarSymbol" w:hAnsi="StarSymbol" w:eastAsia="StarSymbol" w:cs="StarSymbol"/>
      <w:sz w:val="18"/>
      <w:szCs w:val="18"/>
    </w:rPr>
  </w:style>
  <w:style w:type="character" w:customStyle="1" w:styleId="280">
    <w:name w:val="Символ нумерации"/>
    <w:qFormat/>
    <w:uiPriority w:val="0"/>
  </w:style>
  <w:style w:type="paragraph" w:customStyle="1" w:styleId="281">
    <w:name w:val="Заголовок1"/>
    <w:basedOn w:val="1"/>
    <w:next w:val="33"/>
    <w:qFormat/>
    <w:uiPriority w:val="0"/>
    <w:pPr>
      <w:keepNext/>
      <w:suppressAutoHyphens/>
      <w:spacing w:before="240" w:after="120"/>
    </w:pPr>
    <w:rPr>
      <w:rFonts w:ascii="Albany AMT" w:hAnsi="Albany AMT" w:eastAsia="Albany AMT" w:cs="Albany AMT"/>
      <w:sz w:val="28"/>
      <w:szCs w:val="28"/>
      <w:lang w:eastAsia="ar-SA"/>
    </w:rPr>
  </w:style>
  <w:style w:type="paragraph" w:customStyle="1" w:styleId="282">
    <w:name w:val="Название4"/>
    <w:basedOn w:val="1"/>
    <w:qFormat/>
    <w:uiPriority w:val="0"/>
    <w:pPr>
      <w:suppressLineNumbers/>
      <w:suppressAutoHyphens/>
      <w:spacing w:before="120" w:after="120"/>
    </w:pPr>
    <w:rPr>
      <w:rFonts w:cs="Andale Sans UI"/>
      <w:i/>
      <w:iCs/>
      <w:sz w:val="24"/>
      <w:szCs w:val="24"/>
      <w:lang w:eastAsia="ar-SA"/>
    </w:rPr>
  </w:style>
  <w:style w:type="paragraph" w:customStyle="1" w:styleId="283">
    <w:name w:val="Указатель4"/>
    <w:basedOn w:val="1"/>
    <w:qFormat/>
    <w:uiPriority w:val="0"/>
    <w:pPr>
      <w:suppressLineNumbers/>
      <w:suppressAutoHyphens/>
    </w:pPr>
    <w:rPr>
      <w:rFonts w:cs="Andale Sans UI"/>
      <w:sz w:val="24"/>
      <w:szCs w:val="24"/>
      <w:lang w:eastAsia="ar-SA"/>
    </w:rPr>
  </w:style>
  <w:style w:type="paragraph" w:customStyle="1" w:styleId="284">
    <w:name w:val="Название3"/>
    <w:basedOn w:val="1"/>
    <w:qFormat/>
    <w:uiPriority w:val="0"/>
    <w:pPr>
      <w:suppressLineNumbers/>
      <w:suppressAutoHyphens/>
      <w:spacing w:before="120" w:after="120"/>
    </w:pPr>
    <w:rPr>
      <w:rFonts w:cs="Lucidasans"/>
      <w:i/>
      <w:iCs/>
      <w:sz w:val="24"/>
      <w:szCs w:val="24"/>
      <w:lang w:eastAsia="ar-SA"/>
    </w:rPr>
  </w:style>
  <w:style w:type="paragraph" w:customStyle="1" w:styleId="285">
    <w:name w:val="Указатель3"/>
    <w:basedOn w:val="1"/>
    <w:qFormat/>
    <w:uiPriority w:val="0"/>
    <w:pPr>
      <w:suppressLineNumbers/>
      <w:suppressAutoHyphens/>
    </w:pPr>
    <w:rPr>
      <w:rFonts w:cs="Lucidasans"/>
      <w:sz w:val="24"/>
      <w:szCs w:val="24"/>
      <w:lang w:eastAsia="ar-SA"/>
    </w:rPr>
  </w:style>
  <w:style w:type="paragraph" w:customStyle="1" w:styleId="286">
    <w:name w:val="Название2"/>
    <w:basedOn w:val="1"/>
    <w:qFormat/>
    <w:uiPriority w:val="0"/>
    <w:pPr>
      <w:suppressLineNumbers/>
      <w:suppressAutoHyphens/>
      <w:spacing w:before="120" w:after="120"/>
    </w:pPr>
    <w:rPr>
      <w:rFonts w:cs="Lucidasans"/>
      <w:i/>
      <w:iCs/>
      <w:sz w:val="24"/>
      <w:szCs w:val="24"/>
      <w:lang w:eastAsia="ar-SA"/>
    </w:rPr>
  </w:style>
  <w:style w:type="paragraph" w:customStyle="1" w:styleId="287">
    <w:name w:val="Указатель2"/>
    <w:basedOn w:val="1"/>
    <w:qFormat/>
    <w:uiPriority w:val="0"/>
    <w:pPr>
      <w:suppressLineNumbers/>
      <w:suppressAutoHyphens/>
    </w:pPr>
    <w:rPr>
      <w:rFonts w:cs="Lucidasans"/>
      <w:sz w:val="24"/>
      <w:szCs w:val="24"/>
      <w:lang w:eastAsia="ar-SA"/>
    </w:rPr>
  </w:style>
  <w:style w:type="paragraph" w:customStyle="1" w:styleId="288">
    <w:name w:val="Название1"/>
    <w:basedOn w:val="1"/>
    <w:qFormat/>
    <w:uiPriority w:val="0"/>
    <w:pPr>
      <w:suppressLineNumbers/>
      <w:suppressAutoHyphens/>
      <w:spacing w:before="120" w:after="120"/>
    </w:pPr>
    <w:rPr>
      <w:i/>
      <w:iCs/>
      <w:sz w:val="24"/>
      <w:szCs w:val="24"/>
      <w:lang w:eastAsia="ar-SA"/>
    </w:rPr>
  </w:style>
  <w:style w:type="paragraph" w:customStyle="1" w:styleId="289">
    <w:name w:val="Указатель1"/>
    <w:basedOn w:val="1"/>
    <w:qFormat/>
    <w:uiPriority w:val="0"/>
    <w:pPr>
      <w:suppressLineNumbers/>
      <w:suppressAutoHyphens/>
    </w:pPr>
    <w:rPr>
      <w:sz w:val="24"/>
      <w:szCs w:val="24"/>
      <w:lang w:eastAsia="ar-SA"/>
    </w:rPr>
  </w:style>
  <w:style w:type="paragraph" w:customStyle="1" w:styleId="290">
    <w:name w:val="стиль65"/>
    <w:basedOn w:val="1"/>
    <w:qFormat/>
    <w:uiPriority w:val="0"/>
    <w:pPr>
      <w:suppressAutoHyphens/>
      <w:spacing w:before="280" w:after="280"/>
    </w:pPr>
    <w:rPr>
      <w:color w:val="0066CC"/>
      <w:sz w:val="24"/>
      <w:szCs w:val="24"/>
      <w:lang w:eastAsia="ar-SA"/>
    </w:rPr>
  </w:style>
  <w:style w:type="paragraph" w:customStyle="1" w:styleId="291">
    <w:name w:val="Содержимое таблицы"/>
    <w:basedOn w:val="1"/>
    <w:qFormat/>
    <w:uiPriority w:val="0"/>
    <w:pPr>
      <w:suppressLineNumbers/>
      <w:suppressAutoHyphens/>
    </w:pPr>
    <w:rPr>
      <w:sz w:val="24"/>
      <w:szCs w:val="24"/>
      <w:lang w:eastAsia="ar-SA"/>
    </w:rPr>
  </w:style>
  <w:style w:type="paragraph" w:customStyle="1" w:styleId="292">
    <w:name w:val="Заголовок таблицы"/>
    <w:basedOn w:val="291"/>
    <w:qFormat/>
    <w:uiPriority w:val="0"/>
    <w:pPr>
      <w:jc w:val="center"/>
    </w:pPr>
    <w:rPr>
      <w:b/>
      <w:bCs/>
      <w:i/>
      <w:iCs/>
    </w:rPr>
  </w:style>
  <w:style w:type="paragraph" w:customStyle="1" w:styleId="293">
    <w:name w:val="Знак Знак Знак Знак Знак Знак"/>
    <w:basedOn w:val="1"/>
    <w:qFormat/>
    <w:uiPriority w:val="0"/>
    <w:pPr>
      <w:spacing w:after="160" w:line="240" w:lineRule="exact"/>
    </w:pPr>
    <w:rPr>
      <w:rFonts w:ascii="Verdana" w:hAnsi="Verdana"/>
      <w:sz w:val="24"/>
      <w:szCs w:val="24"/>
      <w:lang w:val="en-US" w:eastAsia="en-US"/>
    </w:rPr>
  </w:style>
  <w:style w:type="character" w:customStyle="1" w:styleId="294">
    <w:name w:val="formw"/>
    <w:qFormat/>
    <w:uiPriority w:val="0"/>
  </w:style>
  <w:style w:type="paragraph" w:customStyle="1" w:styleId="295">
    <w:name w:val="Знак Знак1"/>
    <w:basedOn w:val="1"/>
    <w:qFormat/>
    <w:uiPriority w:val="0"/>
    <w:pPr>
      <w:spacing w:after="160" w:line="240" w:lineRule="exact"/>
    </w:pPr>
    <w:rPr>
      <w:rFonts w:ascii="Verdana" w:hAnsi="Verdana" w:cs="Verdana"/>
      <w:lang w:val="en-US" w:eastAsia="en-US"/>
    </w:rPr>
  </w:style>
  <w:style w:type="character" w:customStyle="1" w:styleId="296">
    <w:name w:val="grame"/>
    <w:qFormat/>
    <w:uiPriority w:val="0"/>
  </w:style>
  <w:style w:type="paragraph" w:customStyle="1" w:styleId="297">
    <w:name w:val="Абзац первого уровня"/>
    <w:basedOn w:val="1"/>
    <w:link w:val="298"/>
    <w:qFormat/>
    <w:uiPriority w:val="0"/>
    <w:pPr>
      <w:numPr>
        <w:ilvl w:val="0"/>
        <w:numId w:val="7"/>
      </w:numPr>
      <w:spacing w:before="120" w:after="120"/>
      <w:jc w:val="both"/>
    </w:pPr>
    <w:rPr>
      <w:rFonts w:ascii="Calibri" w:hAnsi="Calibri"/>
      <w:sz w:val="24"/>
      <w:szCs w:val="24"/>
    </w:rPr>
  </w:style>
  <w:style w:type="character" w:customStyle="1" w:styleId="298">
    <w:name w:val="Абзац первого уровня Знак"/>
    <w:link w:val="297"/>
    <w:qFormat/>
    <w:uiPriority w:val="0"/>
    <w:rPr>
      <w:rFonts w:ascii="Calibri" w:hAnsi="Calibri" w:eastAsia="Times New Roman" w:cs="Times New Roman"/>
      <w:sz w:val="24"/>
      <w:szCs w:val="24"/>
      <w:lang w:eastAsia="ru-RU"/>
    </w:rPr>
  </w:style>
  <w:style w:type="character" w:customStyle="1" w:styleId="299">
    <w:name w:val="dfaq"/>
    <w:qFormat/>
    <w:uiPriority w:val="0"/>
  </w:style>
  <w:style w:type="character" w:customStyle="1" w:styleId="300">
    <w:name w:val="apple-style-span"/>
    <w:qFormat/>
    <w:uiPriority w:val="0"/>
  </w:style>
  <w:style w:type="character" w:customStyle="1" w:styleId="301">
    <w:name w:val="themebody"/>
    <w:qFormat/>
    <w:uiPriority w:val="0"/>
  </w:style>
  <w:style w:type="paragraph" w:customStyle="1" w:styleId="302">
    <w:name w:val="Название5"/>
    <w:basedOn w:val="1"/>
    <w:qFormat/>
    <w:uiPriority w:val="0"/>
    <w:pPr>
      <w:spacing w:before="100" w:beforeAutospacing="1" w:after="100" w:afterAutospacing="1"/>
    </w:pPr>
    <w:rPr>
      <w:sz w:val="24"/>
      <w:szCs w:val="24"/>
    </w:rPr>
  </w:style>
  <w:style w:type="character" w:customStyle="1" w:styleId="303">
    <w:name w:val="group-name2"/>
    <w:qFormat/>
    <w:uiPriority w:val="0"/>
    <w:rPr>
      <w:b/>
      <w:bCs/>
      <w:sz w:val="20"/>
      <w:szCs w:val="20"/>
    </w:rPr>
  </w:style>
  <w:style w:type="character" w:customStyle="1" w:styleId="304">
    <w:name w:val="no1"/>
    <w:qFormat/>
    <w:uiPriority w:val="0"/>
  </w:style>
  <w:style w:type="character" w:customStyle="1" w:styleId="305">
    <w:name w:val="yes1"/>
    <w:qFormat/>
    <w:uiPriority w:val="0"/>
    <w:rPr>
      <w:color w:val="FFFFFF"/>
      <w:shd w:val="clear" w:color="auto" w:fill="18A9FF"/>
    </w:rPr>
  </w:style>
  <w:style w:type="character" w:customStyle="1" w:styleId="306">
    <w:name w:val="Знак Знак4"/>
    <w:qFormat/>
    <w:uiPriority w:val="0"/>
  </w:style>
  <w:style w:type="paragraph" w:customStyle="1" w:styleId="307">
    <w:name w:val="Text Title"/>
    <w:basedOn w:val="1"/>
    <w:qFormat/>
    <w:uiPriority w:val="99"/>
    <w:pPr>
      <w:spacing w:before="120" w:after="120"/>
      <w:ind w:left="576" w:right="288"/>
      <w:jc w:val="center"/>
    </w:pPr>
    <w:rPr>
      <w:rFonts w:ascii="NTTierce" w:hAnsi="NTTierce"/>
      <w:b/>
      <w:sz w:val="28"/>
    </w:rPr>
  </w:style>
  <w:style w:type="paragraph" w:customStyle="1" w:styleId="308">
    <w:name w:val="Requisits"/>
    <w:basedOn w:val="1"/>
    <w:qFormat/>
    <w:uiPriority w:val="99"/>
    <w:pPr>
      <w:ind w:right="288"/>
    </w:pPr>
    <w:rPr>
      <w:rFonts w:ascii="TimesDL" w:hAnsi="TimesDL"/>
      <w:sz w:val="22"/>
    </w:rPr>
  </w:style>
  <w:style w:type="paragraph" w:customStyle="1" w:styleId="309">
    <w:name w:val="Bulleted"/>
    <w:basedOn w:val="6"/>
    <w:qFormat/>
    <w:uiPriority w:val="99"/>
    <w:pPr>
      <w:keepNext w:val="0"/>
      <w:keepLines w:val="0"/>
      <w:numPr>
        <w:ilvl w:val="0"/>
        <w:numId w:val="0"/>
      </w:numPr>
      <w:spacing w:before="240" w:after="60"/>
      <w:outlineLvl w:val="9"/>
    </w:pPr>
    <w:rPr>
      <w:rFonts w:ascii="Arial Rounded MT Bold" w:hAnsi="Arial Rounded MT Bold" w:eastAsia="Times New Roman" w:cs="Times New Roman"/>
      <w:color w:val="auto"/>
      <w:sz w:val="22"/>
    </w:rPr>
  </w:style>
  <w:style w:type="character" w:customStyle="1" w:styleId="310">
    <w:name w:val="ConsNormal Знак"/>
    <w:link w:val="73"/>
    <w:qFormat/>
    <w:locked/>
    <w:uiPriority w:val="0"/>
    <w:rPr>
      <w:rFonts w:ascii="Consultant" w:hAnsi="Consultant" w:eastAsia="Times New Roman" w:cs="Times New Roman"/>
      <w:snapToGrid w:val="0"/>
      <w:sz w:val="20"/>
      <w:szCs w:val="20"/>
      <w:lang w:eastAsia="ru-RU"/>
    </w:rPr>
  </w:style>
  <w:style w:type="character" w:customStyle="1" w:styleId="311">
    <w:name w:val="Основной текст1"/>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2">
    <w:name w:val="Основной текст + 10"/>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3">
    <w:name w:val="Основной текст + 10;5 pt"/>
    <w:qFormat/>
    <w:uiPriority w:val="0"/>
    <w:rPr>
      <w:rFonts w:ascii="Times New Roman" w:hAnsi="Times New Roman" w:eastAsia="Times New Roman" w:cs="Times New Roman"/>
      <w:color w:val="000000"/>
      <w:spacing w:val="0"/>
      <w:w w:val="100"/>
      <w:position w:val="0"/>
      <w:sz w:val="21"/>
      <w:szCs w:val="21"/>
      <w:u w:val="none"/>
      <w:lang w:val="ru-RU"/>
    </w:rPr>
  </w:style>
  <w:style w:type="paragraph" w:customStyle="1" w:styleId="314">
    <w:name w:val="Times 12"/>
    <w:basedOn w:val="1"/>
    <w:qFormat/>
    <w:uiPriority w:val="99"/>
    <w:pPr>
      <w:overflowPunct w:val="0"/>
      <w:autoSpaceDE w:val="0"/>
      <w:autoSpaceDN w:val="0"/>
      <w:adjustRightInd w:val="0"/>
      <w:ind w:firstLine="567"/>
      <w:jc w:val="both"/>
    </w:pPr>
    <w:rPr>
      <w:bCs/>
      <w:sz w:val="24"/>
      <w:szCs w:val="22"/>
    </w:rPr>
  </w:style>
  <w:style w:type="paragraph" w:customStyle="1" w:styleId="315">
    <w:name w:val="Пункт б/н"/>
    <w:basedOn w:val="1"/>
    <w:qFormat/>
    <w:uiPriority w:val="0"/>
    <w:pPr>
      <w:tabs>
        <w:tab w:val="left" w:pos="1134"/>
      </w:tabs>
      <w:spacing w:line="360" w:lineRule="auto"/>
      <w:ind w:firstLine="567"/>
      <w:jc w:val="both"/>
    </w:pPr>
    <w:rPr>
      <w:bCs/>
      <w:snapToGrid w:val="0"/>
      <w:sz w:val="22"/>
      <w:szCs w:val="22"/>
    </w:rPr>
  </w:style>
  <w:style w:type="paragraph" w:customStyle="1" w:styleId="316">
    <w:name w:val="Рецензия1"/>
    <w:semiHidden/>
    <w:qFormat/>
    <w:uiPriority w:val="99"/>
    <w:rPr>
      <w:rFonts w:ascii="Calibri" w:hAnsi="Calibri" w:eastAsia="Times New Roman" w:cs="Times New Roman"/>
      <w:sz w:val="22"/>
      <w:szCs w:val="22"/>
      <w:lang w:val="ru-RU" w:eastAsia="ru-RU" w:bidi="ar-SA"/>
    </w:rPr>
  </w:style>
  <w:style w:type="table" w:customStyle="1" w:styleId="317">
    <w:name w:val="Сетка таблицы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8">
    <w:name w:val="msonormal"/>
    <w:basedOn w:val="1"/>
    <w:qFormat/>
    <w:uiPriority w:val="0"/>
    <w:pPr>
      <w:spacing w:before="100" w:beforeAutospacing="1" w:after="100" w:afterAutospacing="1"/>
    </w:pPr>
    <w:rPr>
      <w:sz w:val="24"/>
      <w:szCs w:val="24"/>
    </w:rPr>
  </w:style>
  <w:style w:type="paragraph" w:customStyle="1" w:styleId="319">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0">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1">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322">
    <w:name w:val="1CStyle6"/>
    <w:qFormat/>
    <w:uiPriority w:val="0"/>
    <w:pPr>
      <w:spacing w:after="200" w:line="276" w:lineRule="auto"/>
      <w:jc w:val="center"/>
    </w:pPr>
    <w:rPr>
      <w:rFonts w:ascii="Calibri" w:hAnsi="Calibri" w:eastAsia="PMingLiU" w:cs="Cordia New"/>
      <w:sz w:val="22"/>
      <w:szCs w:val="22"/>
      <w:lang w:val="ru-RU" w:eastAsia="ru-RU" w:bidi="ar-SA"/>
    </w:rPr>
  </w:style>
  <w:style w:type="paragraph" w:customStyle="1" w:styleId="323">
    <w:name w:val="1CStyle7"/>
    <w:qFormat/>
    <w:uiPriority w:val="0"/>
    <w:pPr>
      <w:spacing w:after="200" w:line="276" w:lineRule="auto"/>
      <w:jc w:val="right"/>
    </w:pPr>
    <w:rPr>
      <w:rFonts w:ascii="Calibri" w:hAnsi="Calibri" w:eastAsia="Times New Roman" w:cs="Times New Roman"/>
      <w:sz w:val="22"/>
      <w:szCs w:val="22"/>
      <w:lang w:val="ru-RU" w:eastAsia="ru-RU" w:bidi="ar-SA"/>
    </w:rPr>
  </w:style>
  <w:style w:type="table" w:customStyle="1" w:styleId="324">
    <w:name w:val="Сетка таблицы2"/>
    <w:basedOn w:val="12"/>
    <w:qFormat/>
    <w:uiPriority w:val="59"/>
    <w:pPr>
      <w:spacing w:after="6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Сетка таблицы1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6">
    <w:name w:val="font5"/>
    <w:basedOn w:val="1"/>
    <w:qFormat/>
    <w:uiPriority w:val="0"/>
    <w:pPr>
      <w:spacing w:before="100" w:beforeAutospacing="1" w:after="100" w:afterAutospacing="1"/>
    </w:pPr>
    <w:rPr>
      <w:color w:val="000000"/>
      <w:sz w:val="24"/>
      <w:szCs w:val="24"/>
    </w:rPr>
  </w:style>
  <w:style w:type="paragraph" w:customStyle="1" w:styleId="327">
    <w:name w:val="font6"/>
    <w:basedOn w:val="1"/>
    <w:qFormat/>
    <w:uiPriority w:val="0"/>
    <w:pPr>
      <w:spacing w:before="100" w:beforeAutospacing="1" w:after="100" w:afterAutospacing="1"/>
    </w:pPr>
    <w:rPr>
      <w:color w:val="000000"/>
      <w:sz w:val="24"/>
      <w:szCs w:val="24"/>
    </w:rPr>
  </w:style>
  <w:style w:type="paragraph" w:customStyle="1" w:styleId="328">
    <w:name w:val="font7"/>
    <w:basedOn w:val="1"/>
    <w:qFormat/>
    <w:uiPriority w:val="0"/>
    <w:pPr>
      <w:spacing w:before="100" w:beforeAutospacing="1" w:after="100" w:afterAutospacing="1"/>
    </w:pPr>
    <w:rPr>
      <w:color w:val="000000"/>
      <w:sz w:val="24"/>
      <w:szCs w:val="24"/>
    </w:rPr>
  </w:style>
  <w:style w:type="paragraph" w:customStyle="1" w:styleId="329">
    <w:name w:val="font8"/>
    <w:basedOn w:val="1"/>
    <w:qFormat/>
    <w:uiPriority w:val="0"/>
    <w:pPr>
      <w:spacing w:before="100" w:beforeAutospacing="1" w:after="100" w:afterAutospacing="1"/>
    </w:pPr>
    <w:rPr>
      <w:b/>
      <w:bCs/>
      <w:color w:val="000000"/>
      <w:sz w:val="24"/>
      <w:szCs w:val="24"/>
    </w:rPr>
  </w:style>
  <w:style w:type="paragraph" w:customStyle="1" w:styleId="330">
    <w:name w:val="font9"/>
    <w:basedOn w:val="1"/>
    <w:qFormat/>
    <w:uiPriority w:val="0"/>
    <w:pPr>
      <w:spacing w:before="100" w:beforeAutospacing="1" w:after="100" w:afterAutospacing="1"/>
    </w:pPr>
    <w:rPr>
      <w:color w:val="000000"/>
      <w:sz w:val="24"/>
      <w:szCs w:val="24"/>
    </w:rPr>
  </w:style>
  <w:style w:type="paragraph" w:customStyle="1" w:styleId="331">
    <w:name w:val="font10"/>
    <w:basedOn w:val="1"/>
    <w:qFormat/>
    <w:uiPriority w:val="0"/>
    <w:pPr>
      <w:spacing w:before="100" w:beforeAutospacing="1" w:after="100" w:afterAutospacing="1"/>
    </w:pPr>
    <w:rPr>
      <w:color w:val="FF0000"/>
      <w:sz w:val="24"/>
      <w:szCs w:val="24"/>
    </w:rPr>
  </w:style>
  <w:style w:type="paragraph" w:customStyle="1" w:styleId="332">
    <w:name w:val="font11"/>
    <w:basedOn w:val="1"/>
    <w:qFormat/>
    <w:uiPriority w:val="0"/>
    <w:pPr>
      <w:spacing w:before="100" w:beforeAutospacing="1" w:after="100" w:afterAutospacing="1"/>
    </w:pPr>
    <w:rPr>
      <w:color w:val="222222"/>
      <w:sz w:val="24"/>
      <w:szCs w:val="24"/>
    </w:rPr>
  </w:style>
  <w:style w:type="paragraph" w:customStyle="1" w:styleId="333">
    <w:name w:val="font12"/>
    <w:basedOn w:val="1"/>
    <w:qFormat/>
    <w:uiPriority w:val="0"/>
    <w:pPr>
      <w:spacing w:before="100" w:beforeAutospacing="1" w:after="100" w:afterAutospacing="1"/>
    </w:pPr>
    <w:rPr>
      <w:color w:val="666666"/>
      <w:sz w:val="24"/>
      <w:szCs w:val="24"/>
    </w:rPr>
  </w:style>
  <w:style w:type="paragraph" w:customStyle="1" w:styleId="334">
    <w:name w:val="xl66"/>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5">
    <w:name w:val="xl67"/>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36">
    <w:name w:val="xl68"/>
    <w:basedOn w:val="1"/>
    <w:qFormat/>
    <w:uiPriority w:val="0"/>
    <w:pPr>
      <w:pBdr>
        <w:bottom w:val="single" w:color="auto" w:sz="8" w:space="0"/>
        <w:right w:val="single" w:color="auto" w:sz="8" w:space="0"/>
      </w:pBdr>
      <w:spacing w:before="100" w:beforeAutospacing="1" w:after="100" w:afterAutospacing="1"/>
      <w:jc w:val="both"/>
      <w:textAlignment w:val="center"/>
    </w:pPr>
    <w:rPr>
      <w:sz w:val="24"/>
      <w:szCs w:val="24"/>
    </w:rPr>
  </w:style>
  <w:style w:type="paragraph" w:customStyle="1" w:styleId="337">
    <w:name w:val="xl69"/>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8">
    <w:name w:val="xl70"/>
    <w:basedOn w:val="1"/>
    <w:qFormat/>
    <w:uiPriority w:val="0"/>
    <w:pPr>
      <w:pBdr>
        <w:top w:val="single" w:color="auto" w:sz="8" w:space="0"/>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39">
    <w:name w:val="xl71"/>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40">
    <w:name w:val="xl72"/>
    <w:basedOn w:val="1"/>
    <w:qFormat/>
    <w:uiPriority w:val="0"/>
    <w:pPr>
      <w:pBdr>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41">
    <w:name w:val="xl73"/>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42">
    <w:name w:val="xl74"/>
    <w:basedOn w:val="1"/>
    <w:qFormat/>
    <w:uiPriority w:val="0"/>
    <w:pPr>
      <w:pBdr>
        <w:bottom w:val="single" w:color="auto" w:sz="8" w:space="0"/>
        <w:right w:val="single" w:color="auto" w:sz="8" w:space="0"/>
      </w:pBdr>
      <w:spacing w:before="100" w:beforeAutospacing="1" w:after="100" w:afterAutospacing="1"/>
      <w:textAlignment w:val="center"/>
    </w:pPr>
    <w:rPr>
      <w:color w:val="000000"/>
      <w:sz w:val="24"/>
      <w:szCs w:val="24"/>
    </w:rPr>
  </w:style>
  <w:style w:type="paragraph" w:customStyle="1" w:styleId="343">
    <w:name w:val="xl7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jc w:val="right"/>
      <w:textAlignment w:val="center"/>
    </w:pPr>
    <w:rPr>
      <w:sz w:val="24"/>
      <w:szCs w:val="24"/>
    </w:rPr>
  </w:style>
  <w:style w:type="paragraph" w:customStyle="1" w:styleId="344">
    <w:name w:val="xl76"/>
    <w:basedOn w:val="1"/>
    <w:qFormat/>
    <w:uiPriority w:val="0"/>
    <w:pPr>
      <w:spacing w:before="100" w:beforeAutospacing="1" w:after="100" w:afterAutospacing="1"/>
      <w:jc w:val="right"/>
    </w:pPr>
    <w:rPr>
      <w:sz w:val="24"/>
      <w:szCs w:val="24"/>
    </w:rPr>
  </w:style>
  <w:style w:type="character" w:customStyle="1" w:styleId="345">
    <w:name w:val="Без интервала Знак"/>
    <w:link w:val="166"/>
    <w:qFormat/>
    <w:locked/>
    <w:uiPriority w:val="1"/>
    <w:rPr>
      <w:rFonts w:ascii="Times New Roman" w:hAnsi="Times New Roman" w:eastAsia="Times New Roman" w:cs="Times New Roman"/>
      <w:sz w:val="20"/>
      <w:szCs w:val="20"/>
      <w:lang w:eastAsia="ru-RU"/>
    </w:rPr>
  </w:style>
  <w:style w:type="character" w:customStyle="1" w:styleId="346">
    <w:name w:val="ConsPlusNormal Знак"/>
    <w:link w:val="151"/>
    <w:qFormat/>
    <w:locked/>
    <w:uiPriority w:val="0"/>
    <w:rPr>
      <w:rFonts w:ascii="Arial" w:hAnsi="Arial" w:eastAsia="Times New Roman" w:cs="Arial"/>
      <w:sz w:val="20"/>
      <w:szCs w:val="20"/>
      <w:lang w:eastAsia="ru-RU"/>
    </w:rPr>
  </w:style>
  <w:style w:type="paragraph" w:customStyle="1" w:styleId="347">
    <w:name w:val="Подпункт"/>
    <w:basedOn w:val="348"/>
    <w:link w:val="349"/>
    <w:qFormat/>
    <w:uiPriority w:val="0"/>
    <w:pPr>
      <w:tabs>
        <w:tab w:val="left" w:pos="1134"/>
      </w:tabs>
      <w:spacing w:before="120"/>
      <w:jc w:val="both"/>
    </w:pPr>
    <w:rPr>
      <w:snapToGrid w:val="0"/>
      <w:sz w:val="26"/>
      <w:szCs w:val="26"/>
    </w:rPr>
  </w:style>
  <w:style w:type="paragraph" w:customStyle="1" w:styleId="348">
    <w:name w:val="Пункт"/>
    <w:basedOn w:val="1"/>
    <w:qFormat/>
    <w:uiPriority w:val="0"/>
    <w:pPr>
      <w:numPr>
        <w:ilvl w:val="2"/>
        <w:numId w:val="8"/>
      </w:numPr>
    </w:pPr>
  </w:style>
  <w:style w:type="character" w:customStyle="1" w:styleId="349">
    <w:name w:val="Подпункт Знак1"/>
    <w:link w:val="347"/>
    <w:qFormat/>
    <w:uiPriority w:val="0"/>
    <w:rPr>
      <w:rFonts w:ascii="Times New Roman" w:hAnsi="Times New Roman" w:eastAsia="Times New Roman" w:cs="Times New Roman"/>
      <w:snapToGrid w:val="0"/>
      <w:sz w:val="26"/>
      <w:szCs w:val="26"/>
      <w:lang w:eastAsia="ru-RU"/>
    </w:rPr>
  </w:style>
  <w:style w:type="paragraph" w:customStyle="1" w:styleId="350">
    <w:name w:val="Текст таблицы"/>
    <w:basedOn w:val="1"/>
    <w:qFormat/>
    <w:uiPriority w:val="0"/>
    <w:pPr>
      <w:kinsoku w:val="0"/>
      <w:overflowPunct w:val="0"/>
      <w:autoSpaceDE w:val="0"/>
      <w:autoSpaceDN w:val="0"/>
      <w:spacing w:before="40" w:after="40"/>
      <w:ind w:left="57" w:right="57"/>
    </w:pPr>
    <w:rPr>
      <w:sz w:val="24"/>
      <w:szCs w:val="24"/>
    </w:rPr>
  </w:style>
  <w:style w:type="paragraph" w:customStyle="1" w:styleId="351">
    <w:name w:val="Ii?iaeuiue"/>
    <w:link w:val="352"/>
    <w:qFormat/>
    <w:uiPriority w:val="99"/>
    <w:pPr>
      <w:autoSpaceDE w:val="0"/>
      <w:autoSpaceDN w:val="0"/>
    </w:pPr>
    <w:rPr>
      <w:rFonts w:ascii="Times New Roman" w:hAnsi="Times New Roman" w:eastAsia="Times New Roman" w:cs="Times New Roman"/>
      <w:lang w:val="ru-RU" w:eastAsia="ru-RU" w:bidi="ar-SA"/>
    </w:rPr>
  </w:style>
  <w:style w:type="character" w:customStyle="1" w:styleId="352">
    <w:name w:val="Ii?iaeuiue Знак"/>
    <w:basedOn w:val="11"/>
    <w:link w:val="351"/>
    <w:qFormat/>
    <w:locked/>
    <w:uiPriority w:val="99"/>
    <w:rPr>
      <w:rFonts w:ascii="Times New Roman" w:hAnsi="Times New Roman" w:eastAsia="Times New Roman" w:cs="Times New Roman"/>
      <w:sz w:val="20"/>
      <w:szCs w:val="20"/>
      <w:lang w:eastAsia="ru-RU"/>
    </w:rPr>
  </w:style>
  <w:style w:type="paragraph" w:customStyle="1" w:styleId="353">
    <w:name w:val="Словарная статья"/>
    <w:basedOn w:val="1"/>
    <w:next w:val="1"/>
    <w:qFormat/>
    <w:uiPriority w:val="0"/>
    <w:pPr>
      <w:autoSpaceDE w:val="0"/>
      <w:autoSpaceDN w:val="0"/>
      <w:adjustRightInd w:val="0"/>
      <w:ind w:right="118"/>
      <w:jc w:val="both"/>
    </w:pPr>
    <w:rPr>
      <w:rFonts w:ascii="Arial" w:hAnsi="Arial"/>
    </w:rPr>
  </w:style>
  <w:style w:type="paragraph" w:customStyle="1" w:styleId="354">
    <w:name w:val="02statia2"/>
    <w:basedOn w:val="1"/>
    <w:qFormat/>
    <w:uiPriority w:val="0"/>
    <w:pPr>
      <w:spacing w:before="120" w:line="320" w:lineRule="atLeast"/>
      <w:ind w:left="2020" w:hanging="880"/>
      <w:jc w:val="both"/>
    </w:pPr>
    <w:rPr>
      <w:rFonts w:ascii="GaramondNarrowC" w:hAnsi="GaramondNarrowC"/>
      <w:color w:val="000000"/>
      <w:sz w:val="21"/>
      <w:szCs w:val="21"/>
    </w:rPr>
  </w:style>
  <w:style w:type="paragraph" w:customStyle="1" w:styleId="355">
    <w:name w:val="03osnovnoytexttabl"/>
    <w:basedOn w:val="1"/>
    <w:qFormat/>
    <w:uiPriority w:val="0"/>
    <w:pPr>
      <w:spacing w:before="120" w:line="320" w:lineRule="atLeast"/>
    </w:pPr>
    <w:rPr>
      <w:rFonts w:ascii="GaramondC" w:hAnsi="GaramondC"/>
      <w:color w:val="000000"/>
    </w:rPr>
  </w:style>
  <w:style w:type="table" w:customStyle="1" w:styleId="356">
    <w:name w:val="Сетка таблицы3"/>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7">
    <w:name w:val="Таблица текст Знак"/>
    <w:link w:val="130"/>
    <w:qFormat/>
    <w:locked/>
    <w:uiPriority w:val="99"/>
    <w:rPr>
      <w:rFonts w:ascii="Times New Roman" w:hAnsi="Times New Roman" w:eastAsia="Times New Roman" w:cs="Times New Roman"/>
      <w:sz w:val="24"/>
      <w:szCs w:val="24"/>
      <w:lang w:eastAsia="ru-RU"/>
    </w:rPr>
  </w:style>
  <w:style w:type="table" w:customStyle="1" w:styleId="358">
    <w:name w:val="Table Normal"/>
    <w:qFormat/>
    <w:uiPriority w:val="0"/>
    <w:rPr>
      <w:rFonts w:ascii="Times New Roman" w:hAnsi="Times New Roman" w:eastAsia="Arial Unicode MS" w:cs="Times New Roman"/>
    </w:rPr>
    <w:tblPr>
      <w:tblCellMar>
        <w:top w:w="0" w:type="dxa"/>
        <w:left w:w="0" w:type="dxa"/>
        <w:bottom w:w="0" w:type="dxa"/>
        <w:right w:w="0" w:type="dxa"/>
      </w:tblCellMar>
    </w:tblPr>
  </w:style>
  <w:style w:type="paragraph" w:customStyle="1" w:styleId="359">
    <w:name w:val="variable"/>
    <w:basedOn w:val="1"/>
    <w:next w:val="1"/>
    <w:qFormat/>
    <w:uiPriority w:val="0"/>
    <w:pPr>
      <w:widowControl w:val="0"/>
      <w:suppressAutoHyphens/>
      <w:spacing w:line="100" w:lineRule="atLeast"/>
    </w:pPr>
    <w:rPr>
      <w:rFonts w:eastAsia="Lucida Sans Unicode" w:cs="Tahoma"/>
      <w:b/>
      <w:kern w:val="1"/>
      <w:sz w:val="24"/>
      <w:szCs w:val="24"/>
      <w:lang w:bidi="ru-RU"/>
    </w:rPr>
  </w:style>
  <w:style w:type="paragraph" w:customStyle="1" w:styleId="360">
    <w:name w:val="text"/>
    <w:qFormat/>
    <w:uiPriority w:val="0"/>
    <w:pPr>
      <w:widowControl w:val="0"/>
      <w:suppressAutoHyphens/>
      <w:spacing w:line="100" w:lineRule="atLeast"/>
    </w:pPr>
    <w:rPr>
      <w:rFonts w:ascii="Times New Roman" w:hAnsi="Times New Roman" w:eastAsia="Lucida Sans Unicode" w:cs="Tahoma"/>
      <w:kern w:val="1"/>
      <w:sz w:val="24"/>
      <w:szCs w:val="24"/>
      <w:lang w:val="ru-RU" w:eastAsia="ru-RU" w:bidi="ru-RU"/>
    </w:rPr>
  </w:style>
  <w:style w:type="character" w:customStyle="1" w:styleId="361">
    <w:name w:val="Body text (3)_"/>
    <w:link w:val="362"/>
    <w:qFormat/>
    <w:uiPriority w:val="0"/>
    <w:rPr>
      <w:b/>
      <w:bCs/>
      <w:sz w:val="28"/>
      <w:szCs w:val="28"/>
      <w:shd w:val="clear" w:color="auto" w:fill="FFFFFF"/>
    </w:rPr>
  </w:style>
  <w:style w:type="paragraph" w:customStyle="1" w:styleId="362">
    <w:name w:val="Body text (3)"/>
    <w:basedOn w:val="1"/>
    <w:link w:val="361"/>
    <w:qFormat/>
    <w:uiPriority w:val="0"/>
    <w:pPr>
      <w:widowControl w:val="0"/>
      <w:shd w:val="clear" w:color="auto" w:fill="FFFFFF"/>
      <w:spacing w:line="322" w:lineRule="exact"/>
      <w:ind w:hanging="740"/>
    </w:pPr>
    <w:rPr>
      <w:rFonts w:asciiTheme="minorHAnsi" w:hAnsiTheme="minorHAnsi" w:eastAsiaTheme="minorHAnsi" w:cstheme="minorBidi"/>
      <w:b/>
      <w:bCs/>
      <w:sz w:val="28"/>
      <w:szCs w:val="28"/>
      <w:lang w:eastAsia="en-US"/>
    </w:rPr>
  </w:style>
  <w:style w:type="paragraph" w:customStyle="1" w:styleId="363">
    <w:name w:val="tekstob"/>
    <w:basedOn w:val="1"/>
    <w:qFormat/>
    <w:uiPriority w:val="0"/>
    <w:pPr>
      <w:spacing w:before="100" w:beforeAutospacing="1" w:after="100" w:afterAutospacing="1"/>
    </w:pPr>
    <w:rPr>
      <w:sz w:val="24"/>
      <w:szCs w:val="24"/>
    </w:rPr>
  </w:style>
  <w:style w:type="paragraph" w:customStyle="1" w:styleId="364">
    <w:name w:val="ConsPlusNonformat"/>
    <w:qFormat/>
    <w:uiPriority w:val="0"/>
    <w:pPr>
      <w:widowControl w:val="0"/>
      <w:autoSpaceDE w:val="0"/>
      <w:autoSpaceDN w:val="0"/>
    </w:pPr>
    <w:rPr>
      <w:rFonts w:ascii="Courier New" w:hAnsi="Courier New" w:eastAsia="Times New Roman" w:cs="Courier New"/>
      <w:lang w:val="ru-RU" w:eastAsia="ru-RU" w:bidi="ar-SA"/>
    </w:rPr>
  </w:style>
  <w:style w:type="paragraph" w:customStyle="1" w:styleId="365">
    <w:name w:val="Таблица шапка"/>
    <w:basedOn w:val="1"/>
    <w:qFormat/>
    <w:uiPriority w:val="0"/>
    <w:pPr>
      <w:keepNext/>
      <w:spacing w:before="40" w:after="40"/>
      <w:ind w:left="57" w:right="57"/>
    </w:pPr>
    <w:rPr>
      <w:snapToGrid w:val="0"/>
      <w:sz w:val="22"/>
    </w:rPr>
  </w:style>
  <w:style w:type="paragraph" w:customStyle="1" w:styleId="366">
    <w:name w:val="Подподпункт"/>
    <w:basedOn w:val="347"/>
    <w:qFormat/>
    <w:uiPriority w:val="0"/>
    <w:pPr>
      <w:numPr>
        <w:ilvl w:val="4"/>
      </w:numPr>
    </w:pPr>
  </w:style>
  <w:style w:type="character" w:customStyle="1" w:styleId="367">
    <w:name w:val="blk"/>
    <w:basedOn w:val="11"/>
    <w:qFormat/>
    <w:uiPriority w:val="0"/>
  </w:style>
  <w:style w:type="paragraph" w:customStyle="1" w:styleId="368">
    <w:name w:val="Пункт2"/>
    <w:basedOn w:val="348"/>
    <w:qFormat/>
    <w:uiPriority w:val="0"/>
    <w:pPr>
      <w:keepNext/>
      <w:suppressAutoHyphens/>
      <w:spacing w:before="240" w:after="120"/>
      <w:outlineLvl w:val="2"/>
    </w:pPr>
    <w:rPr>
      <w:b/>
    </w:rPr>
  </w:style>
  <w:style w:type="paragraph" w:customStyle="1" w:styleId="369">
    <w:name w:val="Table_text"/>
    <w:basedOn w:val="1"/>
    <w:qFormat/>
    <w:uiPriority w:val="0"/>
    <w:rPr>
      <w:szCs w:val="24"/>
    </w:rPr>
  </w:style>
  <w:style w:type="paragraph" w:customStyle="1" w:styleId="370">
    <w:name w:val="Table_header"/>
    <w:basedOn w:val="1"/>
    <w:qFormat/>
    <w:uiPriority w:val="0"/>
    <w:rPr>
      <w:b/>
      <w:szCs w:val="24"/>
    </w:rPr>
  </w:style>
  <w:style w:type="character" w:customStyle="1" w:styleId="371">
    <w:name w:val="fontstyle01"/>
    <w:basedOn w:val="11"/>
    <w:qFormat/>
    <w:uiPriority w:val="0"/>
    <w:rPr>
      <w:rFonts w:hint="default" w:ascii="Arial" w:hAnsi="Arial" w:cs="Arial"/>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D4B877C67730D43921FBA8B86C5842B" ma:contentTypeVersion="14" ma:contentTypeDescription="Создание документа." ma:contentTypeScope="" ma:versionID="1fddfe704de886382ae33a8e88630388">
  <xsd:schema xmlns:xsd="http://www.w3.org/2001/XMLSchema" xmlns:xs="http://www.w3.org/2001/XMLSchema" xmlns:p="http://schemas.microsoft.com/office/2006/metadata/properties" xmlns:ns3="ab7c8b5e-8978-4e14-b088-6146757066a8" xmlns:ns4="06bdd40e-bbac-48ca-bd3e-eff21b7788ec" targetNamespace="http://schemas.microsoft.com/office/2006/metadata/properties" ma:root="true" ma:fieldsID="872202577b3789bb047177b683feea77" ns3:_="" ns4:_="">
    <xsd:import namespace="ab7c8b5e-8978-4e14-b088-6146757066a8"/>
    <xsd:import namespace="06bdd40e-bbac-48ca-bd3e-eff21b778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c8b5e-8978-4e14-b088-61467570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dd40e-bbac-48ca-bd3e-eff21b7788ec"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02915-CC9B-4655-A9F9-9792A44614E2}">
  <ds:schemaRefs/>
</ds:datastoreItem>
</file>

<file path=customXml/itemProps2.xml><?xml version="1.0" encoding="utf-8"?>
<ds:datastoreItem xmlns:ds="http://schemas.openxmlformats.org/officeDocument/2006/customXml" ds:itemID="{86B4D566-2C66-4A90-81E5-12FEF2DAACEA}">
  <ds:schemaRefs/>
</ds:datastoreItem>
</file>

<file path=customXml/itemProps3.xml><?xml version="1.0" encoding="utf-8"?>
<ds:datastoreItem xmlns:ds="http://schemas.openxmlformats.org/officeDocument/2006/customXml" ds:itemID="{20E43664-EF8A-4B63-824A-08BAD49170BC}">
  <ds:schemaRefs/>
</ds:datastoreItem>
</file>

<file path=docProps/app.xml><?xml version="1.0" encoding="utf-8"?>
<Properties xmlns="http://schemas.openxmlformats.org/officeDocument/2006/extended-properties" xmlns:vt="http://schemas.openxmlformats.org/officeDocument/2006/docPropsVTypes">
  <Template>Normal.dotm</Template>
  <Company>DVFU</Company>
  <Pages>22</Pages>
  <Words>8346</Words>
  <Characters>47577</Characters>
  <Lines>396</Lines>
  <Paragraphs>111</Paragraphs>
  <TotalTime>157</TotalTime>
  <ScaleCrop>false</ScaleCrop>
  <LinksUpToDate>false</LinksUpToDate>
  <CharactersWithSpaces>55812</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2021-11-17T01:09:00Z</dcterms:created>
  <dc:creator>user</dc:creator>
  <cp:lastModifiedBy>eugene osipov</cp:lastModifiedBy>
  <cp:lastPrinted>2023-12-11T06:32:00Z</cp:lastPrinted>
  <dcterms:modified xsi:type="dcterms:W3CDTF">2023-12-11T08:35:15Z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98BC8ACE7DA846AB8B9493F0CF9AFFFB</vt:lpwstr>
  </property>
  <property fmtid="{D5CDD505-2E9C-101B-9397-08002B2CF9AE}" pid="4" name="ContentTypeId">
    <vt:lpwstr>0x0101003D4B877C67730D43921FBA8B86C5842B</vt:lpwstr>
  </property>
</Properties>
</file>