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jc w:val="center"/>
        <w:rPr>
          <w:b/>
          <w:sz w:val="24"/>
          <w:szCs w:val="24"/>
        </w:rPr>
      </w:pPr>
      <w:r>
        <w:rPr>
          <w:b/>
          <w:sz w:val="24"/>
          <w:szCs w:val="24"/>
        </w:rPr>
        <w:t>ПАСПОРТ ЗАКУПКИ</w:t>
      </w:r>
    </w:p>
    <w:p>
      <w:pPr>
        <w:ind w:left="800" w:leftChars="400" w:right="922" w:rightChars="461"/>
        <w:jc w:val="center"/>
        <w:rPr>
          <w:b/>
          <w:sz w:val="24"/>
          <w:szCs w:val="24"/>
        </w:rPr>
      </w:pPr>
      <w:r>
        <w:rPr>
          <w:b/>
          <w:sz w:val="24"/>
          <w:szCs w:val="24"/>
        </w:rPr>
        <w:t>на проведен</w:t>
      </w:r>
      <w:r>
        <w:rPr>
          <w:b/>
          <w:sz w:val="24"/>
          <w:szCs w:val="24"/>
          <w:highlight w:val="none"/>
        </w:rPr>
        <w:t xml:space="preserve">ие </w:t>
      </w:r>
      <w:r>
        <w:rPr>
          <w:b/>
          <w:sz w:val="24"/>
          <w:szCs w:val="24"/>
          <w:highlight w:val="none"/>
          <w:lang w:val="ru-RU"/>
        </w:rPr>
        <w:t>дополнительного</w:t>
      </w:r>
      <w:r>
        <w:rPr>
          <w:rFonts w:hint="default"/>
          <w:b/>
          <w:sz w:val="24"/>
          <w:szCs w:val="24"/>
          <w:highlight w:val="none"/>
          <w:lang w:val="ru-RU"/>
        </w:rPr>
        <w:t xml:space="preserve"> </w:t>
      </w:r>
      <w:r>
        <w:rPr>
          <w:b/>
          <w:sz w:val="24"/>
          <w:szCs w:val="24"/>
          <w:highlight w:val="none"/>
        </w:rPr>
        <w:t>п</w:t>
      </w:r>
      <w:r>
        <w:rPr>
          <w:b/>
          <w:sz w:val="24"/>
          <w:szCs w:val="24"/>
        </w:rPr>
        <w:t>редварительного квалифи</w:t>
      </w:r>
      <w:r>
        <w:rPr>
          <w:b/>
          <w:sz w:val="24"/>
          <w:szCs w:val="24"/>
          <w:lang w:val="ru-RU"/>
        </w:rPr>
        <w:t>кационного</w:t>
      </w:r>
      <w:r>
        <w:rPr>
          <w:b/>
          <w:sz w:val="24"/>
          <w:szCs w:val="24"/>
        </w:rPr>
        <w:t xml:space="preserve"> отбора </w:t>
      </w:r>
      <w:r>
        <w:rPr>
          <w:b/>
          <w:bCs/>
          <w:sz w:val="24"/>
          <w:szCs w:val="24"/>
        </w:rPr>
        <w:t>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rFonts w:eastAsia="Calibri"/>
          <w:sz w:val="22"/>
          <w:szCs w:val="22"/>
          <w:lang w:eastAsia="en-US"/>
        </w:rPr>
      </w:pPr>
      <w:r>
        <w:rPr>
          <w:sz w:val="22"/>
          <w:szCs w:val="22"/>
        </w:rPr>
        <w:t>Заместитель генерального директора</w:t>
      </w:r>
      <w:r>
        <w:rPr>
          <w:rFonts w:eastAsia="Calibri"/>
          <w:sz w:val="22"/>
          <w:szCs w:val="22"/>
          <w:lang w:eastAsia="en-US"/>
        </w:rPr>
        <w:t xml:space="preserve"> по </w:t>
      </w:r>
    </w:p>
    <w:p>
      <w:pPr>
        <w:tabs>
          <w:tab w:val="left" w:pos="7988"/>
        </w:tabs>
        <w:ind w:right="-1"/>
        <w:rPr>
          <w:sz w:val="22"/>
          <w:szCs w:val="22"/>
        </w:rPr>
      </w:pPr>
      <w:r>
        <w:rPr>
          <w:rFonts w:eastAsia="Calibri"/>
          <w:sz w:val="22"/>
          <w:szCs w:val="22"/>
          <w:lang w:eastAsia="en-US"/>
        </w:rPr>
        <w:t>административно-управленческой деятельности</w:t>
      </w:r>
      <w:r>
        <w:rPr>
          <w:sz w:val="22"/>
          <w:szCs w:val="22"/>
        </w:rPr>
        <w:t xml:space="preserve">  </w:t>
      </w:r>
    </w:p>
    <w:p>
      <w:pPr>
        <w:tabs>
          <w:tab w:val="left" w:pos="7988"/>
        </w:tabs>
        <w:ind w:right="-1"/>
        <w:rPr>
          <w:sz w:val="22"/>
          <w:szCs w:val="22"/>
        </w:rPr>
      </w:pPr>
      <w:r>
        <w:rPr>
          <w:sz w:val="22"/>
          <w:szCs w:val="22"/>
        </w:rPr>
        <w:t>/В.Г</w:t>
      </w:r>
      <w:r>
        <w:rPr>
          <w:rFonts w:hint="default"/>
          <w:sz w:val="22"/>
          <w:szCs w:val="22"/>
          <w:lang w:val="ru-RU"/>
        </w:rPr>
        <w:t xml:space="preserve"> </w:t>
      </w:r>
      <w:r>
        <w:rPr>
          <w:sz w:val="22"/>
          <w:szCs w:val="22"/>
        </w:rPr>
        <w:t>Коршунов/ _________________</w:t>
      </w:r>
    </w:p>
    <w:p>
      <w:pPr>
        <w:tabs>
          <w:tab w:val="left" w:pos="7988"/>
        </w:tabs>
        <w:ind w:right="-1"/>
        <w:rPr>
          <w:sz w:val="22"/>
          <w:szCs w:val="22"/>
        </w:rPr>
      </w:pPr>
    </w:p>
    <w:p>
      <w:pPr>
        <w:tabs>
          <w:tab w:val="left" w:pos="7988"/>
        </w:tabs>
        <w:ind w:right="-1"/>
        <w:rPr>
          <w:rFonts w:hint="default"/>
          <w:sz w:val="22"/>
          <w:szCs w:val="22"/>
        </w:rPr>
      </w:pPr>
      <w:r>
        <w:rPr>
          <w:sz w:val="22"/>
          <w:szCs w:val="22"/>
        </w:rPr>
        <w:t xml:space="preserve">Заместитель генерального директора </w:t>
      </w:r>
      <w:r>
        <w:rPr>
          <w:rFonts w:hint="default"/>
          <w:sz w:val="22"/>
          <w:szCs w:val="22"/>
        </w:rPr>
        <w:t>по вопросам</w:t>
      </w:r>
    </w:p>
    <w:p>
      <w:pPr>
        <w:tabs>
          <w:tab w:val="left" w:pos="7988"/>
        </w:tabs>
        <w:ind w:right="-1"/>
        <w:rPr>
          <w:sz w:val="22"/>
          <w:szCs w:val="22"/>
        </w:rPr>
      </w:pPr>
      <w:r>
        <w:rPr>
          <w:rFonts w:hint="default"/>
          <w:sz w:val="22"/>
          <w:szCs w:val="22"/>
        </w:rPr>
        <w:t>капитального строительства и развития территории ИНТЦ</w:t>
      </w:r>
    </w:p>
    <w:p>
      <w:pPr>
        <w:tabs>
          <w:tab w:val="left" w:pos="7988"/>
        </w:tabs>
        <w:ind w:right="-1"/>
        <w:rPr>
          <w:rFonts w:hint="default"/>
          <w:sz w:val="22"/>
          <w:szCs w:val="22"/>
          <w:lang w:val="en-US"/>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/Е.Ю</w:t>
      </w:r>
      <w:r>
        <w:rPr>
          <w:rFonts w:hint="default"/>
          <w:sz w:val="22"/>
          <w:szCs w:val="22"/>
          <w:lang w:val="ru-RU"/>
        </w:rPr>
        <w:t xml:space="preserve"> </w:t>
      </w:r>
      <w:r>
        <w:rPr>
          <w:sz w:val="22"/>
          <w:szCs w:val="22"/>
        </w:rPr>
        <w:t>Осипов/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sectPr>
          <w:footerReference r:id="rId6" w:type="first"/>
          <w:headerReference r:id="rId4" w:type="default"/>
          <w:footerReference r:id="rId5" w:type="default"/>
          <w:pgSz w:w="11906" w:h="16838"/>
          <w:pgMar w:top="1134" w:right="707" w:bottom="1276" w:left="1276" w:header="425" w:footer="300" w:gutter="0"/>
          <w:pgNumType w:fmt="decimal" w:start="2"/>
          <w:cols w:space="0" w:num="1"/>
          <w:rtlGutter w:val="0"/>
          <w:docGrid w:linePitch="360" w:charSpace="0"/>
        </w:sectPr>
      </w:pPr>
      <w:r>
        <w:rPr>
          <w:b/>
          <w:sz w:val="24"/>
          <w:szCs w:val="24"/>
        </w:rPr>
        <w:t>г. Владивосток, 202</w:t>
      </w:r>
      <w:r>
        <w:rPr>
          <w:rFonts w:hint="default"/>
          <w:b/>
          <w:sz w:val="24"/>
          <w:szCs w:val="24"/>
          <w:lang w:val="ru-RU"/>
        </w:rPr>
        <w:t>2</w:t>
      </w:r>
      <w:r>
        <w:rPr>
          <w:b/>
          <w:sz w:val="24"/>
          <w:szCs w:val="24"/>
        </w:rPr>
        <w:t xml:space="preserve"> г.</w:t>
      </w:r>
      <w:bookmarkStart w:id="0" w:name="_Toc314833514"/>
      <w:bookmarkStart w:id="1" w:name="_Toc315167360"/>
      <w:bookmarkStart w:id="2" w:name="_Toc95220070"/>
    </w:p>
    <w:p>
      <w:pPr>
        <w:jc w:val="center"/>
        <w:rPr>
          <w:b/>
          <w:sz w:val="22"/>
          <w:szCs w:val="22"/>
        </w:rPr>
      </w:pPr>
      <w:r>
        <w:rPr>
          <w:b/>
          <w:sz w:val="22"/>
          <w:szCs w:val="22"/>
        </w:rPr>
        <w:t xml:space="preserve">РАЗДЕЛ I. </w:t>
      </w:r>
      <w:bookmarkEnd w:id="0"/>
      <w:bookmarkEnd w:id="1"/>
      <w:r>
        <w:rPr>
          <w:b/>
          <w:sz w:val="22"/>
          <w:szCs w:val="22"/>
        </w:rPr>
        <w:t>ОБЩИЕ СВЕДЕНИЯ</w:t>
      </w:r>
    </w:p>
    <w:p>
      <w:pPr>
        <w:jc w:val="right"/>
        <w:rPr>
          <w:sz w:val="22"/>
          <w:szCs w:val="22"/>
        </w:rPr>
      </w:pPr>
    </w:p>
    <w:p>
      <w:pPr>
        <w:pStyle w:val="103"/>
        <w:spacing w:before="0" w:after="0"/>
        <w:jc w:val="center"/>
        <w:rPr>
          <w:szCs w:val="24"/>
        </w:rPr>
      </w:pPr>
      <w:r>
        <w:rPr>
          <w:szCs w:val="24"/>
        </w:rPr>
        <w:t>Уважаемые господа!</w:t>
      </w:r>
    </w:p>
    <w:p>
      <w:pPr>
        <w:pStyle w:val="103"/>
        <w:spacing w:before="0" w:after="0"/>
        <w:jc w:val="center"/>
        <w:rPr>
          <w:szCs w:val="24"/>
        </w:rPr>
      </w:pPr>
    </w:p>
    <w:p>
      <w:pPr>
        <w:pStyle w:val="103"/>
        <w:ind w:firstLine="652"/>
        <w:rPr>
          <w:rFonts w:hint="default"/>
          <w:szCs w:val="24"/>
          <w:highlight w:val="none"/>
          <w:lang w:val="ru-RU"/>
        </w:rPr>
      </w:pPr>
      <w:r>
        <w:rPr>
          <w:szCs w:val="24"/>
          <w:highlight w:val="none"/>
        </w:rPr>
        <w:t xml:space="preserve">1. Фонд развития инновационного научно-технологического центра «Русский» (Фонд развития ИНТЦ «Русский») (далее – Заказчик) приглашает для участия в проведении </w:t>
      </w:r>
      <w:r>
        <w:rPr>
          <w:szCs w:val="24"/>
          <w:highlight w:val="none"/>
          <w:lang w:val="ru-RU"/>
        </w:rPr>
        <w:t>дополнительного</w:t>
      </w:r>
      <w:r>
        <w:rPr>
          <w:rFonts w:hint="default"/>
          <w:szCs w:val="24"/>
          <w:highlight w:val="none"/>
          <w:lang w:val="ru-RU"/>
        </w:rPr>
        <w:t xml:space="preserve"> </w:t>
      </w:r>
      <w:r>
        <w:rPr>
          <w:szCs w:val="24"/>
          <w:highlight w:val="none"/>
        </w:rPr>
        <w:t>предварительного квалифи</w:t>
      </w:r>
      <w:r>
        <w:rPr>
          <w:szCs w:val="24"/>
          <w:highlight w:val="none"/>
          <w:lang w:val="ru-RU"/>
        </w:rPr>
        <w:t>кационного</w:t>
      </w:r>
      <w:r>
        <w:rPr>
          <w:szCs w:val="24"/>
          <w:highlight w:val="none"/>
        </w:rPr>
        <w:t xml:space="preserve"> отбора 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(далее – отбор), кандидатами (участниками) в отборе которыми могут являться любое юридическое или физическое лицо</w:t>
      </w:r>
      <w:r>
        <w:rPr>
          <w:rFonts w:hint="default"/>
          <w:szCs w:val="24"/>
          <w:highlight w:val="none"/>
          <w:lang w:val="ru-RU"/>
        </w:rPr>
        <w:t>,</w:t>
      </w:r>
      <w:r>
        <w:rPr>
          <w:szCs w:val="24"/>
          <w:highlight w:val="none"/>
        </w:rPr>
        <w:t xml:space="preserve"> или несколько юридических лиц (физических лиц),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r>
        <w:rPr>
          <w:rFonts w:hint="default"/>
          <w:szCs w:val="24"/>
          <w:highlight w:val="none"/>
          <w:lang w:val="ru-RU"/>
        </w:rPr>
        <w:t xml:space="preserve"> Настоящий дополнительный предварительный квалификационный отбор проводиться в целях дополнительного включения квалифицированный подрядный организаций 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w:t>
      </w:r>
    </w:p>
    <w:p>
      <w:pPr>
        <w:pStyle w:val="103"/>
        <w:spacing w:before="0" w:after="0"/>
        <w:ind w:firstLine="652"/>
        <w:rPr>
          <w:szCs w:val="24"/>
        </w:rPr>
      </w:pPr>
      <w:r>
        <w:rPr>
          <w:szCs w:val="24"/>
        </w:rPr>
        <w:t>2. Под процедурой проведения предварительного квалификационного отбора (далее по тексту - Отбор) понимается деятельность Заказчика по отбору квалифицированных подрядных организаций,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Реестр.</w:t>
      </w:r>
    </w:p>
    <w:p>
      <w:pPr>
        <w:pStyle w:val="103"/>
        <w:ind w:firstLine="652"/>
        <w:rPr>
          <w:szCs w:val="24"/>
        </w:rPr>
      </w:pPr>
      <w:r>
        <w:rPr>
          <w:szCs w:val="24"/>
        </w:rPr>
        <w:t>3. Настоящий паспорт закупки разработан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rPr>
          <w:b/>
          <w:sz w:val="22"/>
          <w:szCs w:val="22"/>
        </w:rPr>
      </w:pPr>
      <w:r>
        <w:rPr>
          <w:b/>
          <w:sz w:val="22"/>
          <w:szCs w:val="22"/>
        </w:rPr>
        <w:br w:type="page"/>
      </w:r>
    </w:p>
    <w:p>
      <w:pPr>
        <w:keepNext/>
        <w:keepLines/>
        <w:tabs>
          <w:tab w:val="left" w:pos="1440"/>
          <w:tab w:val="left" w:pos="3969"/>
          <w:tab w:val="right" w:leader="dot" w:pos="9720"/>
        </w:tabs>
        <w:ind w:left="284"/>
        <w:jc w:val="center"/>
        <w:rPr>
          <w:b/>
          <w:bCs/>
          <w:caps/>
          <w:sz w:val="22"/>
          <w:szCs w:val="22"/>
        </w:rPr>
      </w:pPr>
      <w:r>
        <w:rPr>
          <w:b/>
          <w:bCs/>
          <w:caps/>
          <w:sz w:val="22"/>
          <w:szCs w:val="22"/>
        </w:rPr>
        <w:t>Раздел 2. ИНФОРМАЦИЯ О ПРОВЕДЕНИИ ОТБОРА</w:t>
      </w:r>
    </w:p>
    <w:p>
      <w:pPr>
        <w:keepNext/>
        <w:keepLines/>
        <w:tabs>
          <w:tab w:val="left" w:pos="1440"/>
          <w:tab w:val="left" w:pos="3969"/>
          <w:tab w:val="right" w:leader="dot" w:pos="9720"/>
        </w:tabs>
        <w:ind w:left="284"/>
        <w:jc w:val="center"/>
        <w:rPr>
          <w:b/>
          <w:bCs/>
          <w:caps/>
          <w:sz w:val="22"/>
          <w:szCs w:val="22"/>
        </w:rPr>
      </w:pPr>
    </w:p>
    <w:tbl>
      <w:tblPr>
        <w:tblStyle w:val="12"/>
        <w:tblW w:w="1087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855"/>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730"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w:t>
            </w:r>
          </w:p>
        </w:tc>
        <w:tc>
          <w:tcPr>
            <w:tcW w:w="3855"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 xml:space="preserve">Фирменное наименование, место нахождения, почтовый адрес, адрес электронной почты, номер контактного телефона Заказчика </w:t>
            </w:r>
          </w:p>
        </w:tc>
        <w:tc>
          <w:tcPr>
            <w:tcW w:w="6285" w:type="dxa"/>
            <w:tcBorders>
              <w:bottom w:val="single" w:color="auto" w:sz="4" w:space="0"/>
            </w:tcBorders>
            <w:shd w:val="clear" w:color="auto" w:fill="auto"/>
            <w:vAlign w:val="center"/>
          </w:tcPr>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pPr>
              <w:widowControl w:val="0"/>
              <w:suppressAutoHyphens/>
              <w:spacing w:line="100" w:lineRule="atLeast"/>
              <w:jc w:val="both"/>
              <w:rPr>
                <w:rFonts w:hint="default" w:eastAsia="Lucida Sans Unicode"/>
                <w:bCs/>
                <w:kern w:val="1"/>
                <w:sz w:val="24"/>
                <w:szCs w:val="24"/>
                <w:lang w:eastAsia="en-US"/>
              </w:rPr>
            </w:pPr>
            <w:r>
              <w:rPr>
                <w:rFonts w:eastAsia="Lucida Sans Unicode"/>
                <w:kern w:val="1"/>
                <w:sz w:val="24"/>
                <w:szCs w:val="24"/>
                <w:lang w:bidi="ru-RU"/>
              </w:rPr>
              <w:t xml:space="preserve">остров Русский, п. Аякс, д. 10, </w:t>
            </w:r>
            <w:r>
              <w:rPr>
                <w:rFonts w:eastAsia="Lucida Sans Unicode"/>
                <w:bCs/>
                <w:kern w:val="1"/>
                <w:sz w:val="24"/>
                <w:szCs w:val="24"/>
                <w:lang w:eastAsia="en-US" w:bidi="ru-RU"/>
              </w:rPr>
              <w:t xml:space="preserve">офис </w:t>
            </w:r>
            <w:r>
              <w:rPr>
                <w:rFonts w:hint="default" w:eastAsia="Lucida Sans Unicode"/>
                <w:bCs/>
                <w:kern w:val="1"/>
                <w:sz w:val="24"/>
                <w:szCs w:val="24"/>
                <w:lang w:eastAsia="en-US"/>
              </w:rPr>
              <w:t>Л519</w:t>
            </w:r>
          </w:p>
          <w:p>
            <w:pPr>
              <w:widowControl w:val="0"/>
              <w:suppressAutoHyphens/>
              <w:spacing w:line="100" w:lineRule="atLeast"/>
              <w:jc w:val="both"/>
              <w:rPr>
                <w:rFonts w:hint="default" w:eastAsia="Lucida Sans Unicode"/>
                <w:bCs/>
                <w:kern w:val="1"/>
                <w:sz w:val="24"/>
                <w:szCs w:val="24"/>
                <w:lang w:val="en-US" w:eastAsia="en-US"/>
              </w:rPr>
            </w:pPr>
            <w:r>
              <w:rPr>
                <w:rFonts w:eastAsia="Arial Unicode MS"/>
                <w:sz w:val="24"/>
                <w:szCs w:val="24"/>
                <w:lang w:val="en-US" w:eastAsia="zh-CN"/>
              </w:rPr>
              <w:t xml:space="preserve">e-mail: </w:t>
            </w:r>
            <w:r>
              <w:rPr>
                <w:rFonts w:hint="default"/>
                <w:color w:val="auto"/>
                <w:sz w:val="24"/>
                <w:szCs w:val="24"/>
                <w:u w:val="none"/>
                <w:lang w:val="en-US"/>
              </w:rPr>
              <w:fldChar w:fldCharType="begin"/>
            </w:r>
            <w:r>
              <w:rPr>
                <w:rFonts w:hint="default"/>
                <w:color w:val="auto"/>
                <w:sz w:val="24"/>
                <w:szCs w:val="24"/>
                <w:u w:val="none"/>
                <w:lang w:val="en-US"/>
              </w:rPr>
              <w:instrText xml:space="preserve"> HYPERLINK "mailto:intc@iostrov.ru" </w:instrText>
            </w:r>
            <w:r>
              <w:rPr>
                <w:rFonts w:hint="default"/>
                <w:color w:val="auto"/>
                <w:sz w:val="24"/>
                <w:szCs w:val="24"/>
                <w:u w:val="none"/>
                <w:lang w:val="en-US"/>
              </w:rPr>
              <w:fldChar w:fldCharType="separate"/>
            </w:r>
            <w:r>
              <w:rPr>
                <w:rStyle w:val="18"/>
                <w:rFonts w:hint="default"/>
                <w:sz w:val="24"/>
                <w:szCs w:val="24"/>
                <w:lang w:val="en-US"/>
              </w:rPr>
              <w:t>intc</w:t>
            </w:r>
            <w:r>
              <w:rPr>
                <w:rStyle w:val="18"/>
                <w:rFonts w:eastAsia="Arial Unicode MS"/>
                <w:sz w:val="24"/>
                <w:szCs w:val="24"/>
                <w:lang w:val="en-US" w:eastAsia="zh-CN"/>
              </w:rPr>
              <w:t>@iostrov.ru</w:t>
            </w:r>
            <w:r>
              <w:rPr>
                <w:rFonts w:hint="default"/>
                <w:color w:val="auto"/>
                <w:sz w:val="24"/>
                <w:szCs w:val="24"/>
                <w:u w:val="none"/>
                <w:lang w:val="en-US"/>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(994)104</w:t>
            </w:r>
            <w:r>
              <w:rPr>
                <w:rFonts w:eastAsia="Arial Unicode MS"/>
                <w:sz w:val="24"/>
                <w:szCs w:val="24"/>
                <w:lang w:val="en-US" w:eastAsia="zh-CN"/>
              </w:rPr>
              <w:t>-</w:t>
            </w:r>
            <w:r>
              <w:rPr>
                <w:rFonts w:hint="default" w:eastAsia="Arial Unicode MS"/>
                <w:sz w:val="24"/>
                <w:szCs w:val="24"/>
                <w:lang w:val="en-US" w:eastAsia="zh-CN"/>
              </w:rPr>
              <w:t>01</w:t>
            </w:r>
            <w:r>
              <w:rPr>
                <w:rFonts w:eastAsia="Arial Unicode MS"/>
                <w:sz w:val="24"/>
                <w:szCs w:val="24"/>
                <w:lang w:val="en-US" w:eastAsia="zh-CN"/>
              </w:rPr>
              <w:t>-</w:t>
            </w:r>
            <w:r>
              <w:rPr>
                <w:rFonts w:hint="default" w:eastAsia="Arial Unicode MS"/>
                <w:sz w:val="24"/>
                <w:szCs w:val="24"/>
                <w:lang w:val="en-US" w:eastAsia="zh-CN"/>
              </w:rPr>
              <w:t>91</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Контактные лицо:</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Осипов Евгений Юрьевич</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val="en-US" w:eastAsia="zh-CN"/>
              </w:rPr>
            </w:pPr>
            <w:r>
              <w:rPr>
                <w:rFonts w:eastAsia="Arial Unicode MS"/>
                <w:sz w:val="24"/>
                <w:szCs w:val="24"/>
                <w:lang w:val="en-US" w:eastAsia="zh-CN"/>
              </w:rPr>
              <w:t xml:space="preserve">e-mail: </w:t>
            </w:r>
            <w:r>
              <w:rPr>
                <w:sz w:val="24"/>
                <w:szCs w:val="24"/>
              </w:rPr>
              <w:fldChar w:fldCharType="begin"/>
            </w:r>
            <w:r>
              <w:rPr>
                <w:sz w:val="24"/>
                <w:szCs w:val="24"/>
              </w:rPr>
              <w:instrText xml:space="preserve"> HYPERLINK "mailto:osipov.ey@iostrov.ru" </w:instrText>
            </w:r>
            <w:r>
              <w:rPr>
                <w:sz w:val="24"/>
                <w:szCs w:val="24"/>
              </w:rPr>
              <w:fldChar w:fldCharType="separate"/>
            </w:r>
            <w:r>
              <w:rPr>
                <w:rStyle w:val="18"/>
                <w:rFonts w:eastAsia="Arial Unicode MS"/>
                <w:sz w:val="24"/>
                <w:szCs w:val="24"/>
                <w:lang w:val="en-US" w:eastAsia="zh-CN"/>
              </w:rPr>
              <w:t>osipov.ey@iostrov.ru</w:t>
            </w:r>
            <w:r>
              <w:rPr>
                <w:rStyle w:val="18"/>
                <w:rFonts w:eastAsia="Arial Unicode MS"/>
                <w:sz w:val="24"/>
                <w:szCs w:val="24"/>
                <w:lang w:val="en-US" w:eastAsia="zh-CN"/>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w:t>
            </w:r>
            <w:r>
              <w:rPr>
                <w:rFonts w:eastAsia="Arial Unicode MS"/>
                <w:sz w:val="24"/>
                <w:szCs w:val="24"/>
                <w:lang w:val="en-US" w:eastAsia="zh-CN"/>
              </w:rPr>
              <w:t>904</w:t>
            </w:r>
            <w:r>
              <w:rPr>
                <w:rFonts w:hint="default" w:eastAsia="Arial Unicode MS"/>
                <w:sz w:val="24"/>
                <w:szCs w:val="24"/>
                <w:lang w:val="en-US" w:eastAsia="zh-CN"/>
              </w:rPr>
              <w:t>)</w:t>
            </w:r>
            <w:r>
              <w:rPr>
                <w:rFonts w:eastAsia="Arial Unicode MS"/>
                <w:sz w:val="24"/>
                <w:szCs w:val="24"/>
                <w:lang w:val="en-US" w:eastAsia="zh-CN"/>
              </w:rPr>
              <w:t>-628-67-87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0" w:type="dxa"/>
            <w:tcBorders>
              <w:bottom w:val="single" w:color="auto" w:sz="4" w:space="0"/>
            </w:tcBorders>
            <w:shd w:val="clear" w:color="auto" w:fill="F1F1F1" w:themeFill="background1" w:themeFillShade="F2"/>
            <w:vAlign w:val="center"/>
          </w:tcPr>
          <w:p>
            <w:pPr>
              <w:numPr>
                <w:ilvl w:val="0"/>
                <w:numId w:val="9"/>
              </w:numPr>
              <w:pBdr>
                <w:top w:val="none" w:color="000000" w:sz="0" w:space="0"/>
                <w:left w:val="none" w:color="000000" w:sz="0" w:space="0"/>
                <w:bottom w:val="none" w:color="000000" w:sz="0" w:space="0"/>
                <w:right w:val="none" w:color="000000" w:sz="0" w:space="0"/>
              </w:pBdr>
              <w:suppressAutoHyphens/>
              <w:rPr>
                <w:rFonts w:eastAsia="Arial Unicode MS"/>
                <w:b/>
                <w:sz w:val="24"/>
                <w:szCs w:val="24"/>
                <w:lang w:val="en-US" w:eastAsia="zh-CN"/>
              </w:rPr>
            </w:pPr>
          </w:p>
        </w:tc>
        <w:tc>
          <w:tcPr>
            <w:tcW w:w="3855" w:type="dxa"/>
            <w:tcBorders>
              <w:bottom w:val="single" w:color="auto" w:sz="4" w:space="0"/>
            </w:tcBorders>
            <w:shd w:val="clear" w:color="auto" w:fill="F1F1F1" w:themeFill="background1" w:themeFillShade="F2"/>
            <w:vAlign w:val="center"/>
          </w:tcPr>
          <w:p>
            <w:pPr>
              <w:pBdr>
                <w:top w:val="none" w:color="000000" w:sz="0" w:space="0"/>
                <w:left w:val="none" w:color="000000" w:sz="0" w:space="0"/>
                <w:bottom w:val="none" w:color="000000" w:sz="0" w:space="0"/>
                <w:right w:val="none" w:color="000000" w:sz="0" w:space="0"/>
              </w:pBdr>
              <w:suppressAutoHyphens/>
              <w:rPr>
                <w:rFonts w:eastAsia="Arial Unicode MS"/>
                <w:b/>
                <w:sz w:val="24"/>
                <w:szCs w:val="24"/>
                <w:lang w:eastAsia="zh-CN"/>
              </w:rPr>
            </w:pPr>
            <w:r>
              <w:rPr>
                <w:rFonts w:eastAsia="Arial Unicode MS"/>
                <w:b/>
                <w:sz w:val="24"/>
                <w:szCs w:val="24"/>
                <w:lang w:eastAsia="zh-CN"/>
              </w:rPr>
              <w:t>Обеспечение исполнения Договора</w:t>
            </w:r>
          </w:p>
        </w:tc>
        <w:tc>
          <w:tcPr>
            <w:tcW w:w="6285" w:type="dxa"/>
            <w:tcBorders>
              <w:bottom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Условия об обеспечении исполнения договора будут предусмотрены для каждой закупки 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Предмет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highlight w:val="none"/>
                <w:lang w:eastAsia="zh-CN"/>
              </w:rPr>
            </w:pPr>
            <w:r>
              <w:rPr>
                <w:rFonts w:eastAsia="Arial Unicode MS"/>
                <w:sz w:val="24"/>
                <w:szCs w:val="24"/>
                <w:highlight w:val="none"/>
                <w:lang w:val="ru-RU" w:eastAsia="zh-CN"/>
              </w:rPr>
              <w:t>Дополнительное</w:t>
            </w:r>
            <w:r>
              <w:rPr>
                <w:rFonts w:hint="default" w:eastAsia="Arial Unicode MS"/>
                <w:sz w:val="24"/>
                <w:szCs w:val="24"/>
                <w:highlight w:val="none"/>
                <w:lang w:val="ru-RU" w:eastAsia="zh-CN"/>
              </w:rPr>
              <w:t xml:space="preserve"> в</w:t>
            </w:r>
            <w:r>
              <w:rPr>
                <w:rFonts w:eastAsia="Arial Unicode MS"/>
                <w:sz w:val="24"/>
                <w:szCs w:val="24"/>
                <w:highlight w:val="none"/>
                <w:lang w:eastAsia="zh-CN"/>
              </w:rPr>
              <w:t xml:space="preserve">ключение </w:t>
            </w:r>
            <w:r>
              <w:rPr>
                <w:rFonts w:hint="default"/>
                <w:sz w:val="24"/>
                <w:szCs w:val="24"/>
                <w:highlight w:val="none"/>
                <w:lang w:val="ru-RU"/>
              </w:rPr>
              <w:t xml:space="preserve">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 </w:t>
            </w:r>
            <w:r>
              <w:rPr>
                <w:rFonts w:eastAsia="Arial Unicode MS"/>
                <w:sz w:val="24"/>
                <w:szCs w:val="24"/>
                <w:highlight w:val="none"/>
                <w:lang w:eastAsia="zh-CN"/>
              </w:rPr>
              <w:t>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w:t>
            </w:r>
            <w:r>
              <w:rPr>
                <w:rFonts w:eastAsia="Arial Unicode MS"/>
                <w:sz w:val="24"/>
                <w:szCs w:val="24"/>
                <w:highlight w:val="none"/>
                <w:lang w:val="ru-RU" w:eastAsia="zh-CN"/>
              </w:rPr>
              <w:t>ей</w:t>
            </w:r>
            <w:r>
              <w:rPr>
                <w:rFonts w:eastAsia="Arial Unicode MS"/>
                <w:sz w:val="24"/>
                <w:szCs w:val="24"/>
                <w:highlight w:val="none"/>
                <w:lang w:eastAsia="zh-CN"/>
              </w:rPr>
              <w:t xml:space="preserve"> 3</w:t>
            </w:r>
            <w:r>
              <w:rPr>
                <w:rFonts w:hint="default" w:eastAsia="Arial Unicode MS"/>
                <w:sz w:val="24"/>
                <w:szCs w:val="24"/>
                <w:highlight w:val="none"/>
                <w:lang w:val="en-US" w:eastAsia="zh-CN"/>
              </w:rPr>
              <w:t>10</w:t>
            </w:r>
            <w:r>
              <w:rPr>
                <w:rFonts w:eastAsia="Arial Unicode MS"/>
                <w:sz w:val="24"/>
                <w:szCs w:val="24"/>
                <w:highlight w:val="none"/>
                <w:lang w:eastAsia="zh-CN"/>
              </w:rPr>
              <w:t> </w:t>
            </w:r>
            <w:r>
              <w:rPr>
                <w:rFonts w:hint="default" w:eastAsia="Arial Unicode MS"/>
                <w:sz w:val="24"/>
                <w:szCs w:val="24"/>
                <w:highlight w:val="none"/>
                <w:lang w:val="en-US" w:eastAsia="zh-CN"/>
              </w:rPr>
              <w:t>0</w:t>
            </w:r>
            <w:r>
              <w:rPr>
                <w:rFonts w:eastAsia="Arial Unicode MS"/>
                <w:sz w:val="24"/>
                <w:szCs w:val="24"/>
                <w:highlight w:val="none"/>
                <w:lang w:eastAsia="zh-CN"/>
              </w:rPr>
              <w:t xml:space="preserve">00 000 (триста </w:t>
            </w:r>
            <w:r>
              <w:rPr>
                <w:rFonts w:hint="default" w:eastAsia="Arial Unicode MS"/>
                <w:sz w:val="24"/>
                <w:szCs w:val="24"/>
                <w:highlight w:val="none"/>
                <w:lang w:val="ru-RU" w:eastAsia="zh-CN"/>
              </w:rPr>
              <w:t>десять</w:t>
            </w:r>
            <w:r>
              <w:rPr>
                <w:rFonts w:eastAsia="Arial Unicode MS"/>
                <w:sz w:val="24"/>
                <w:szCs w:val="24"/>
                <w:highlight w:val="none"/>
                <w:lang w:eastAsia="zh-CN"/>
              </w:rPr>
              <w:t xml:space="preserve"> миллион</w:t>
            </w:r>
            <w:r>
              <w:rPr>
                <w:rFonts w:eastAsia="Arial Unicode MS"/>
                <w:sz w:val="24"/>
                <w:szCs w:val="24"/>
                <w:highlight w:val="none"/>
                <w:lang w:val="ru-RU" w:eastAsia="zh-CN"/>
              </w:rPr>
              <w:t>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jc w:val="both"/>
              <w:rPr>
                <w:rFonts w:eastAsia="Arial Unicode MS"/>
                <w:i/>
                <w:color w:val="660066"/>
                <w:sz w:val="24"/>
                <w:szCs w:val="24"/>
                <w:lang w:eastAsia="zh-CN"/>
              </w:rPr>
            </w:pPr>
            <w:r>
              <w:rPr>
                <w:i/>
                <w:sz w:val="24"/>
                <w:szCs w:val="24"/>
              </w:rPr>
              <w:t xml:space="preserve">Паспорт закупки последующих конкурентных процедур с участием квалифицированных поставщиков (подрядчиков, исполнителей) будет предусматривать возможность участия исключительно кандидатов (участников), прошедших предварительный квалификационный отбор.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sz w:val="24"/>
                <w:szCs w:val="24"/>
                <w:lang w:eastAsia="zh-CN"/>
              </w:rPr>
            </w:pPr>
            <w:r>
              <w:rPr>
                <w:rFonts w:eastAsia="Arial Unicode MS"/>
                <w:sz w:val="24"/>
                <w:szCs w:val="24"/>
                <w:lang w:eastAsia="zh-CN"/>
              </w:rPr>
              <w:t>Не установлено.</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Период действия Реестра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hint="default" w:eastAsia="Arial Unicode MS"/>
                <w:sz w:val="24"/>
                <w:szCs w:val="24"/>
                <w:lang w:val="ru-RU" w:eastAsia="zh-CN"/>
              </w:rPr>
            </w:pPr>
            <w:r>
              <w:rPr>
                <w:rFonts w:eastAsia="Arial Unicode MS"/>
                <w:sz w:val="24"/>
                <w:szCs w:val="24"/>
                <w:lang w:eastAsia="zh-CN"/>
              </w:rPr>
              <w:t xml:space="preserve">Участники, прошедшие отбор включаются в Реестр квалифицированных подрядных организаций на срок </w:t>
            </w:r>
            <w:r>
              <w:rPr>
                <w:rFonts w:hint="default" w:eastAsia="Arial Unicode MS"/>
                <w:sz w:val="24"/>
                <w:szCs w:val="24"/>
                <w:lang w:val="ru-RU" w:eastAsia="zh-CN"/>
              </w:rPr>
              <w:t>3 (три)</w:t>
            </w:r>
            <w:r>
              <w:rPr>
                <w:rFonts w:eastAsia="Arial Unicode MS"/>
                <w:sz w:val="24"/>
                <w:szCs w:val="24"/>
                <w:lang w:eastAsia="zh-CN"/>
              </w:rPr>
              <w:t xml:space="preserve"> месяц</w:t>
            </w:r>
            <w:r>
              <w:rPr>
                <w:rFonts w:eastAsia="Arial Unicode MS"/>
                <w:sz w:val="24"/>
                <w:szCs w:val="24"/>
                <w:lang w:val="ru-RU" w:eastAsia="zh-CN"/>
              </w:rPr>
              <w:t>а</w:t>
            </w:r>
            <w:r>
              <w:rPr>
                <w:rFonts w:eastAsia="Arial Unicode MS"/>
                <w:sz w:val="24"/>
                <w:szCs w:val="24"/>
                <w:lang w:eastAsia="zh-CN"/>
              </w:rPr>
              <w:t xml:space="preserve"> с даты принятия решения Тендерной комисси</w:t>
            </w:r>
            <w:r>
              <w:rPr>
                <w:rFonts w:eastAsia="Arial Unicode MS"/>
                <w:sz w:val="24"/>
                <w:szCs w:val="24"/>
                <w:lang w:val="ru-RU" w:eastAsia="zh-CN"/>
              </w:rPr>
              <w:t>ей</w:t>
            </w:r>
            <w:r>
              <w:rPr>
                <w:rFonts w:hint="default" w:eastAsia="Arial Unicode MS"/>
                <w:sz w:val="24"/>
                <w:szCs w:val="24"/>
                <w:lang w:val="ru-RU"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Требования к содержанию, форме, оформлению и составу Заявки на участие в отборе</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lang w:eastAsia="zh-CN"/>
              </w:rPr>
            </w:pPr>
            <w:r>
              <w:rPr>
                <w:rFonts w:eastAsia="Arial Unicode MS"/>
                <w:iCs/>
                <w:sz w:val="24"/>
                <w:szCs w:val="24"/>
                <w:lang w:eastAsia="zh-CN"/>
              </w:rPr>
              <w:t>Заявка на участие в отборе должны быть представлены в соответствии с разделом 3 и 4 Паспорта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Место, дата и время начала и окончания срока подачи Заявок на участие в отборе</w:t>
            </w:r>
          </w:p>
        </w:tc>
        <w:tc>
          <w:tcPr>
            <w:tcW w:w="6285" w:type="dxa"/>
            <w:tcBorders>
              <w:top w:val="single" w:color="auto" w:sz="4" w:space="0"/>
            </w:tcBorders>
            <w:shd w:val="clear" w:color="auto" w:fill="auto"/>
            <w:vAlign w:val="center"/>
          </w:tcPr>
          <w:p>
            <w:pPr>
              <w:widowControl w:val="0"/>
              <w:suppressAutoHyphens/>
              <w:spacing w:line="100" w:lineRule="atLeast"/>
              <w:jc w:val="both"/>
              <w:rPr>
                <w:sz w:val="24"/>
                <w:szCs w:val="24"/>
                <w:highlight w:val="none"/>
              </w:rPr>
            </w:pPr>
            <w:r>
              <w:rPr>
                <w:rFonts w:eastAsia="Calibri"/>
                <w:sz w:val="24"/>
                <w:szCs w:val="24"/>
                <w:highlight w:val="none"/>
                <w:lang w:eastAsia="en-US"/>
              </w:rPr>
              <w:t>Заявки на участие в процедуре отбора подаются</w:t>
            </w:r>
            <w:r>
              <w:rPr>
                <w:sz w:val="24"/>
                <w:szCs w:val="24"/>
                <w:highlight w:val="none"/>
              </w:rPr>
              <w:t xml:space="preserve"> участниками отбора в электронной форме через функционал электронной торговой площадки по адресу: </w:t>
            </w:r>
            <w:r>
              <w:rPr>
                <w:sz w:val="24"/>
                <w:szCs w:val="24"/>
                <w:highlight w:val="none"/>
                <w:u w:val="single"/>
              </w:rPr>
              <w:t>www.roseltorg.ru</w:t>
            </w:r>
            <w:r>
              <w:rPr>
                <w:sz w:val="24"/>
                <w:szCs w:val="24"/>
                <w:highlight w:val="none"/>
              </w:rPr>
              <w:t xml:space="preserve"> </w:t>
            </w:r>
            <w:r>
              <w:rPr>
                <w:rFonts w:eastAsia="Calibri"/>
                <w:sz w:val="24"/>
                <w:szCs w:val="24"/>
                <w:highlight w:val="none"/>
              </w:rPr>
              <w:t>в соответствии с порядком (регламентом) и требованиями, установленными оператором электронной площадки, а также требованиями, установленными паспортом закупки об отборе в пункте  3.4. раздела 3.</w:t>
            </w:r>
          </w:p>
          <w:p>
            <w:pPr>
              <w:widowControl w:val="0"/>
              <w:suppressAutoHyphens/>
              <w:spacing w:line="100" w:lineRule="atLeast"/>
              <w:jc w:val="both"/>
              <w:rPr>
                <w:rFonts w:eastAsia="Calibri"/>
                <w:sz w:val="24"/>
                <w:szCs w:val="24"/>
                <w:highlight w:val="none"/>
                <w:lang w:eastAsia="en-US"/>
              </w:rPr>
            </w:pPr>
            <w:r>
              <w:rPr>
                <w:sz w:val="24"/>
                <w:szCs w:val="24"/>
                <w:highlight w:val="none"/>
              </w:rPr>
              <w:t xml:space="preserve">  </w:t>
            </w:r>
          </w:p>
          <w:p>
            <w:pPr>
              <w:autoSpaceDE w:val="0"/>
              <w:autoSpaceDN w:val="0"/>
              <w:adjustRightInd w:val="0"/>
              <w:jc w:val="both"/>
              <w:rPr>
                <w:rFonts w:eastAsia="Arial Unicode MS"/>
                <w:sz w:val="24"/>
                <w:szCs w:val="24"/>
                <w:highlight w:val="none"/>
                <w:lang w:eastAsia="zh-CN"/>
              </w:rPr>
            </w:pPr>
            <w:r>
              <w:rPr>
                <w:rFonts w:eastAsia="Calibri"/>
                <w:bCs/>
                <w:sz w:val="24"/>
                <w:szCs w:val="24"/>
                <w:highlight w:val="none"/>
                <w:lang w:eastAsia="en-US"/>
              </w:rPr>
              <w:t>Дата начала приема заявок:</w:t>
            </w:r>
            <w:r>
              <w:rPr>
                <w:rFonts w:hint="default" w:eastAsia="Calibri"/>
                <w:bCs/>
                <w:sz w:val="24"/>
                <w:szCs w:val="24"/>
                <w:highlight w:val="none"/>
                <w:lang w:val="ru-RU" w:eastAsia="en-US"/>
              </w:rPr>
              <w:t xml:space="preserve"> </w:t>
            </w:r>
            <w:r>
              <w:rPr>
                <w:rFonts w:hint="default" w:eastAsia="Calibri"/>
                <w:bCs/>
                <w:sz w:val="24"/>
                <w:szCs w:val="24"/>
                <w:highlight w:val="none"/>
                <w:u w:val="none"/>
                <w:lang w:val="ru-RU" w:eastAsia="en-US"/>
              </w:rPr>
              <w:t>09</w:t>
            </w:r>
            <w:r>
              <w:rPr>
                <w:rFonts w:eastAsia="Arial Unicode MS"/>
                <w:sz w:val="24"/>
                <w:szCs w:val="24"/>
                <w:highlight w:val="none"/>
                <w:u w:val="none"/>
                <w:lang w:eastAsia="zh-CN"/>
              </w:rPr>
              <w:t>.</w:t>
            </w:r>
            <w:r>
              <w:rPr>
                <w:rFonts w:hint="default" w:eastAsia="Arial Unicode MS"/>
                <w:sz w:val="24"/>
                <w:szCs w:val="24"/>
                <w:highlight w:val="none"/>
                <w:u w:val="none"/>
                <w:lang w:val="ru-RU" w:eastAsia="zh-CN"/>
              </w:rPr>
              <w:t>12</w:t>
            </w:r>
            <w:r>
              <w:rPr>
                <w:rFonts w:eastAsia="Arial Unicode MS"/>
                <w:sz w:val="24"/>
                <w:szCs w:val="24"/>
                <w:highlight w:val="none"/>
                <w:u w:val="none"/>
                <w:lang w:eastAsia="zh-CN"/>
              </w:rPr>
              <w:t>.202</w:t>
            </w:r>
            <w:r>
              <w:rPr>
                <w:rFonts w:hint="default" w:eastAsia="Arial Unicode MS"/>
                <w:sz w:val="24"/>
                <w:szCs w:val="24"/>
                <w:highlight w:val="none"/>
                <w:u w:val="none"/>
                <w:lang w:val="ru-RU" w:eastAsia="zh-CN"/>
              </w:rPr>
              <w:t>2</w:t>
            </w:r>
            <w:r>
              <w:rPr>
                <w:rFonts w:eastAsia="Arial Unicode MS"/>
                <w:sz w:val="24"/>
                <w:szCs w:val="24"/>
                <w:highlight w:val="none"/>
                <w:u w:val="none"/>
                <w:lang w:eastAsia="zh-CN"/>
              </w:rPr>
              <w:t>г.</w:t>
            </w:r>
          </w:p>
          <w:p>
            <w:pPr>
              <w:autoSpaceDE w:val="0"/>
              <w:autoSpaceDN w:val="0"/>
              <w:adjustRightInd w:val="0"/>
              <w:jc w:val="both"/>
              <w:rPr>
                <w:rFonts w:eastAsia="Calibri"/>
                <w:sz w:val="24"/>
                <w:szCs w:val="24"/>
                <w:highlight w:val="none"/>
                <w:lang w:eastAsia="en-US"/>
              </w:rPr>
            </w:pPr>
          </w:p>
          <w:p>
            <w:pPr>
              <w:autoSpaceDE w:val="0"/>
              <w:autoSpaceDN w:val="0"/>
              <w:adjustRightInd w:val="0"/>
              <w:jc w:val="both"/>
              <w:rPr>
                <w:rFonts w:eastAsia="Calibri"/>
                <w:sz w:val="24"/>
                <w:szCs w:val="24"/>
                <w:highlight w:val="none"/>
                <w:lang w:eastAsia="en-US"/>
              </w:rPr>
            </w:pPr>
            <w:r>
              <w:rPr>
                <w:rFonts w:eastAsia="Calibri"/>
                <w:bCs/>
                <w:sz w:val="24"/>
                <w:szCs w:val="24"/>
                <w:highlight w:val="none"/>
                <w:lang w:eastAsia="en-US"/>
              </w:rPr>
              <w:t xml:space="preserve">Дата и время окончания приема заявок: </w:t>
            </w:r>
            <w:r>
              <w:rPr>
                <w:rFonts w:hint="default" w:eastAsia="Calibri"/>
                <w:bCs/>
                <w:sz w:val="24"/>
                <w:szCs w:val="24"/>
                <w:highlight w:val="none"/>
                <w:lang w:val="ru-RU" w:eastAsia="en-US"/>
              </w:rPr>
              <w:t>21</w:t>
            </w:r>
            <w:r>
              <w:rPr>
                <w:rFonts w:eastAsia="Arial Unicode MS"/>
                <w:sz w:val="24"/>
                <w:szCs w:val="24"/>
                <w:highlight w:val="none"/>
                <w:lang w:eastAsia="zh-CN"/>
              </w:rPr>
              <w:t>.</w:t>
            </w:r>
            <w:r>
              <w:rPr>
                <w:rFonts w:hint="default" w:eastAsia="Arial Unicode MS"/>
                <w:sz w:val="24"/>
                <w:szCs w:val="24"/>
                <w:highlight w:val="none"/>
                <w:lang w:val="ru-RU" w:eastAsia="zh-CN"/>
              </w:rPr>
              <w:t>12</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12</w:t>
            </w:r>
            <w:r>
              <w:rPr>
                <w:rFonts w:eastAsia="Arial Unicode MS"/>
                <w:sz w:val="24"/>
                <w:szCs w:val="24"/>
                <w:highlight w:val="none"/>
                <w:lang w:eastAsia="zh-CN"/>
              </w:rPr>
              <w:t>:00 (по Владивостокскому времени)</w:t>
            </w:r>
          </w:p>
          <w:p>
            <w:pPr>
              <w:autoSpaceDE w:val="0"/>
              <w:autoSpaceDN w:val="0"/>
              <w:adjustRightInd w:val="0"/>
              <w:jc w:val="both"/>
              <w:rPr>
                <w:rFonts w:eastAsia="Calibri"/>
                <w:bCs/>
                <w:color w:val="660066"/>
                <w:sz w:val="24"/>
                <w:szCs w:val="24"/>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Требования к участникам отбора и перечень документов, представляемых участниками для подтверждения их соответствия установленным обязательным требованиям</w:t>
            </w:r>
          </w:p>
        </w:tc>
        <w:tc>
          <w:tcPr>
            <w:tcW w:w="6285" w:type="dxa"/>
            <w:tcBorders>
              <w:top w:val="single" w:color="auto" w:sz="4" w:space="0"/>
            </w:tcBorders>
            <w:shd w:val="clear" w:color="auto" w:fill="auto"/>
            <w:vAlign w:val="center"/>
          </w:tcPr>
          <w:p>
            <w:pPr>
              <w:tabs>
                <w:tab w:val="left" w:pos="142"/>
              </w:tabs>
              <w:jc w:val="both"/>
              <w:rPr>
                <w:rFonts w:eastAsiaTheme="minorHAnsi"/>
                <w:i/>
                <w:sz w:val="24"/>
                <w:szCs w:val="24"/>
                <w:lang w:eastAsia="en-US"/>
              </w:rPr>
            </w:pPr>
            <w:r>
              <w:rPr>
                <w:rFonts w:eastAsiaTheme="minorHAnsi"/>
                <w:sz w:val="24"/>
                <w:szCs w:val="24"/>
                <w:lang w:eastAsia="en-US"/>
              </w:rPr>
              <w:t>Указаны в пункте 3.2. раздела 3 «Требования к кандидатам (участникам)»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Квалификационные требования к участникам отбора и перечень документов, представляемых участниками для подтверждения их соответствия установленным квалификационным требованиям</w:t>
            </w:r>
          </w:p>
        </w:tc>
        <w:tc>
          <w:tcPr>
            <w:tcW w:w="6285" w:type="dxa"/>
            <w:tcBorders>
              <w:top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tabs>
                <w:tab w:val="left" w:pos="2127"/>
                <w:tab w:val="left" w:pos="4020"/>
              </w:tabs>
              <w:suppressAutoHyphens/>
              <w:rPr>
                <w:rFonts w:eastAsiaTheme="minorHAnsi"/>
                <w:sz w:val="24"/>
                <w:szCs w:val="24"/>
                <w:lang w:eastAsia="en-US"/>
              </w:rPr>
            </w:pPr>
            <w:r>
              <w:rPr>
                <w:rFonts w:eastAsia="Arial Unicode MS"/>
                <w:color w:val="000000" w:themeColor="text1"/>
                <w:sz w:val="24"/>
                <w:szCs w:val="24"/>
                <w:lang w:eastAsia="zh-CN"/>
                <w14:textFill>
                  <w14:solidFill>
                    <w14:schemeClr w14:val="tx1"/>
                  </w14:solidFill>
                </w14:textFill>
              </w:rPr>
              <w:t xml:space="preserve">Указаны в Разделе 5 «Квалификационные требования (показатели), подтверждающие квалификацию участника в качестве квалифицированной подрядной организации и порядок оценки заявок участников отбора»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Формы, порядок и сроки предоставления участникам разъяснения положений документации о проведении отбора</w:t>
            </w:r>
          </w:p>
        </w:tc>
        <w:tc>
          <w:tcPr>
            <w:tcW w:w="6285" w:type="dxa"/>
            <w:shd w:val="clear" w:color="auto" w:fill="auto"/>
            <w:vAlign w:val="center"/>
          </w:tcPr>
          <w:p>
            <w:pPr>
              <w:autoSpaceDE w:val="0"/>
              <w:autoSpaceDN w:val="0"/>
              <w:adjustRightInd w:val="0"/>
              <w:rPr>
                <w:rFonts w:eastAsia="Calibri"/>
                <w:iCs/>
                <w:color w:val="000000"/>
                <w:sz w:val="24"/>
                <w:szCs w:val="24"/>
                <w:lang w:eastAsia="en-US"/>
              </w:rPr>
            </w:pPr>
            <w:r>
              <w:rPr>
                <w:rFonts w:eastAsia="Calibri"/>
                <w:color w:val="000000"/>
                <w:sz w:val="24"/>
                <w:szCs w:val="24"/>
                <w:lang w:eastAsia="en-US"/>
              </w:rPr>
              <w:t>Указаны в пункте  3.3. раздела 3 «Разъяснение положений Паспорта закупки об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30" w:type="dxa"/>
            <w:shd w:val="clear" w:color="auto" w:fill="F1F1F1" w:themeFill="background1" w:themeFillShade="F2"/>
            <w:vAlign w:val="center"/>
          </w:tcPr>
          <w:p>
            <w:pPr>
              <w:numPr>
                <w:ilvl w:val="0"/>
                <w:numId w:val="9"/>
              </w:numPr>
              <w:tabs>
                <w:tab w:val="left" w:pos="-142"/>
                <w:tab w:val="left" w:pos="0"/>
                <w:tab w:val="left" w:pos="1134"/>
              </w:tabs>
              <w:rPr>
                <w:rFonts w:eastAsia="Arial Unicode MS"/>
                <w:b/>
                <w:sz w:val="24"/>
                <w:szCs w:val="24"/>
                <w:lang w:eastAsia="zh-CN"/>
              </w:rPr>
            </w:pPr>
          </w:p>
        </w:tc>
        <w:tc>
          <w:tcPr>
            <w:tcW w:w="3855" w:type="dxa"/>
            <w:shd w:val="clear" w:color="auto" w:fill="F1F1F1" w:themeFill="background1" w:themeFillShade="F2"/>
            <w:vAlign w:val="center"/>
          </w:tcPr>
          <w:p>
            <w:pPr>
              <w:tabs>
                <w:tab w:val="left" w:pos="-142"/>
                <w:tab w:val="left" w:pos="0"/>
                <w:tab w:val="left" w:pos="1134"/>
              </w:tabs>
              <w:rPr>
                <w:rFonts w:eastAsia="Arial Unicode MS"/>
                <w:b/>
                <w:iCs/>
                <w:sz w:val="24"/>
                <w:szCs w:val="24"/>
                <w:lang w:eastAsia="zh-CN"/>
              </w:rPr>
            </w:pPr>
            <w:r>
              <w:rPr>
                <w:rFonts w:eastAsia="Arial Unicode MS"/>
                <w:b/>
                <w:sz w:val="24"/>
                <w:szCs w:val="24"/>
                <w:lang w:eastAsia="zh-CN"/>
              </w:rPr>
              <w:t xml:space="preserve">Дата, время и место рассмотрения заявок и подведения итогов процедуры </w:t>
            </w:r>
            <w:r>
              <w:rPr>
                <w:rFonts w:eastAsia="Arial Unicode MS"/>
                <w:b/>
                <w:bCs/>
                <w:sz w:val="24"/>
                <w:szCs w:val="24"/>
                <w:lang w:eastAsia="zh-CN"/>
              </w:rPr>
              <w:t>отбора</w:t>
            </w:r>
          </w:p>
        </w:tc>
        <w:tc>
          <w:tcPr>
            <w:tcW w:w="6285" w:type="dxa"/>
            <w:shd w:val="clear" w:color="auto" w:fill="auto"/>
            <w:vAlign w:val="center"/>
          </w:tcPr>
          <w:p>
            <w:pPr>
              <w:widowControl w:val="0"/>
              <w:suppressAutoHyphens/>
              <w:spacing w:line="100" w:lineRule="atLeast"/>
              <w:jc w:val="both"/>
              <w:rPr>
                <w:rFonts w:hint="default" w:eastAsia="Lucida Sans Unicode"/>
                <w:bCs/>
                <w:kern w:val="1"/>
                <w:sz w:val="24"/>
                <w:szCs w:val="24"/>
                <w:lang w:val="en-US" w:eastAsia="en-US" w:bidi="ru-RU"/>
              </w:rPr>
            </w:pPr>
            <w:r>
              <w:rPr>
                <w:rFonts w:eastAsia="Lucida Sans Unicode"/>
                <w:bCs/>
                <w:kern w:val="1"/>
                <w:sz w:val="24"/>
                <w:szCs w:val="24"/>
                <w:lang w:eastAsia="en-US" w:bidi="ru-RU"/>
              </w:rPr>
              <w:t>Место рассмотрения заявок и подведения итогов: 690922, Приморский край, г. Владивосток, остров Русский, п. Аякс, д. 10</w:t>
            </w:r>
          </w:p>
          <w:p>
            <w:pPr>
              <w:widowControl w:val="0"/>
              <w:suppressAutoHyphens/>
              <w:spacing w:line="100" w:lineRule="atLeast"/>
              <w:jc w:val="both"/>
              <w:rPr>
                <w:rFonts w:eastAsia="Lucida Sans Unicode"/>
                <w:bCs/>
                <w:kern w:val="1"/>
                <w:sz w:val="24"/>
                <w:szCs w:val="24"/>
                <w:lang w:eastAsia="en-US" w:bidi="ru-RU"/>
              </w:rPr>
            </w:pPr>
          </w:p>
          <w:p>
            <w:pPr>
              <w:autoSpaceDE w:val="0"/>
              <w:autoSpaceDN w:val="0"/>
              <w:adjustRightInd w:val="0"/>
              <w:jc w:val="both"/>
              <w:rPr>
                <w:rFonts w:eastAsia="Calibri"/>
                <w:sz w:val="24"/>
                <w:szCs w:val="24"/>
                <w:highlight w:val="none"/>
                <w:lang w:eastAsia="en-US"/>
              </w:rPr>
            </w:pPr>
            <w:r>
              <w:rPr>
                <w:rFonts w:eastAsia="Lucida Sans Unicode"/>
                <w:bCs/>
                <w:kern w:val="1"/>
                <w:sz w:val="24"/>
                <w:szCs w:val="24"/>
                <w:highlight w:val="none"/>
                <w:lang w:eastAsia="en-US" w:bidi="ru-RU"/>
              </w:rPr>
              <w:t>Дата и время рассмотрения заявок и подведения итогов</w:t>
            </w:r>
            <w:r>
              <w:rPr>
                <w:rFonts w:eastAsia="Lucida Sans Unicode"/>
                <w:bCs/>
                <w:color w:val="660066"/>
                <w:kern w:val="1"/>
                <w:sz w:val="24"/>
                <w:szCs w:val="24"/>
                <w:highlight w:val="none"/>
                <w:lang w:eastAsia="en-US" w:bidi="ru-RU"/>
              </w:rPr>
              <w:t xml:space="preserve">: </w:t>
            </w:r>
            <w:r>
              <w:rPr>
                <w:rFonts w:hint="default" w:eastAsia="Arial Unicode MS"/>
                <w:sz w:val="24"/>
                <w:szCs w:val="24"/>
                <w:highlight w:val="none"/>
                <w:lang w:val="ru-RU" w:eastAsia="zh-CN"/>
              </w:rPr>
              <w:t>21</w:t>
            </w:r>
            <w:r>
              <w:rPr>
                <w:rFonts w:eastAsia="Arial Unicode MS"/>
                <w:sz w:val="24"/>
                <w:szCs w:val="24"/>
                <w:highlight w:val="none"/>
                <w:lang w:eastAsia="zh-CN"/>
              </w:rPr>
              <w:t>.</w:t>
            </w:r>
            <w:r>
              <w:rPr>
                <w:rFonts w:hint="default" w:eastAsia="Arial Unicode MS"/>
                <w:sz w:val="24"/>
                <w:szCs w:val="24"/>
                <w:highlight w:val="none"/>
                <w:lang w:val="ru-RU" w:eastAsia="zh-CN"/>
              </w:rPr>
              <w:t>12</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16</w:t>
            </w:r>
            <w:r>
              <w:rPr>
                <w:rFonts w:eastAsia="Arial Unicode MS"/>
                <w:sz w:val="24"/>
                <w:szCs w:val="24"/>
                <w:highlight w:val="none"/>
                <w:lang w:eastAsia="zh-CN"/>
              </w:rPr>
              <w:t>:00 (по Владивостокскому времени)</w:t>
            </w:r>
          </w:p>
          <w:p>
            <w:pPr>
              <w:widowControl w:val="0"/>
              <w:suppressAutoHyphens/>
              <w:spacing w:line="100" w:lineRule="atLeast"/>
              <w:jc w:val="both"/>
              <w:rPr>
                <w:rFonts w:eastAsia="Lucida Sans Unicode"/>
                <w:kern w:val="1"/>
                <w:sz w:val="24"/>
                <w:szCs w:val="24"/>
                <w:lang w:bidi="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Возможность отказаться от проведения отбора или изменить его условия</w:t>
            </w:r>
          </w:p>
        </w:tc>
        <w:tc>
          <w:tcPr>
            <w:tcW w:w="6285" w:type="dxa"/>
            <w:shd w:val="clear" w:color="auto" w:fill="auto"/>
            <w:vAlign w:val="center"/>
          </w:tcPr>
          <w:p>
            <w:pPr>
              <w:ind w:firstLine="480" w:firstLineChars="200"/>
              <w:jc w:val="both"/>
              <w:rPr>
                <w:sz w:val="24"/>
                <w:szCs w:val="24"/>
              </w:rPr>
            </w:pPr>
            <w:r>
              <w:rPr>
                <w:sz w:val="24"/>
                <w:szCs w:val="24"/>
              </w:rPr>
              <w:t>Заказчик при проведении предварительного квалификационного отбора не имеет обязанностей перед кандидатом на участие в Отборе и вправе отказаться от его проведе</w:t>
            </w:r>
            <w:bookmarkStart w:id="37" w:name="_GoBack"/>
            <w:bookmarkEnd w:id="37"/>
            <w:r>
              <w:rPr>
                <w:sz w:val="24"/>
                <w:szCs w:val="24"/>
              </w:rPr>
              <w:t>ния на любом из этапов, не неся при этом никакой материальной ответственности перед кандидатами на участие в Отборе или квалифицированными поставщиками (подрядчиками, исполнителями).</w:t>
            </w:r>
          </w:p>
          <w:p>
            <w:pPr>
              <w:autoSpaceDE w:val="0"/>
              <w:autoSpaceDN w:val="0"/>
              <w:adjustRightInd w:val="0"/>
              <w:ind w:firstLine="480" w:firstLineChars="200"/>
              <w:jc w:val="both"/>
              <w:rPr>
                <w:sz w:val="24"/>
                <w:szCs w:val="24"/>
              </w:rPr>
            </w:pPr>
            <w:r>
              <w:rPr>
                <w:sz w:val="24"/>
                <w:szCs w:val="24"/>
              </w:rPr>
              <w:t xml:space="preserve">Заказчик вправе принять решение о внесении изменений в Паспорт закупки по проведению предварительного квалификационного отбора, в том числе продлить срок подачи заявок. В течение 3 (трех) дней со дня принятия указанного решения такие изменения размещаются на сайте Фонда. </w:t>
            </w:r>
          </w:p>
          <w:p>
            <w:pPr>
              <w:autoSpaceDE w:val="0"/>
              <w:autoSpaceDN w:val="0"/>
              <w:adjustRightInd w:val="0"/>
              <w:ind w:firstLine="480" w:firstLineChars="200"/>
              <w:jc w:val="both"/>
              <w:rPr>
                <w:rFonts w:eastAsia="Calibri"/>
                <w:iCs/>
                <w:color w:val="000000"/>
                <w:sz w:val="24"/>
                <w:szCs w:val="24"/>
                <w:lang w:eastAsia="en-US"/>
              </w:rPr>
            </w:pPr>
            <w:r>
              <w:rPr>
                <w:rFonts w:eastAsia="Calibri"/>
                <w:iCs/>
                <w:color w:val="000000"/>
                <w:sz w:val="24"/>
                <w:szCs w:val="24"/>
                <w:lang w:eastAsia="en-US"/>
              </w:rPr>
              <w:t>Заказчик не несет ответственности в случае, если участник не ознакомился с изменениями, внесенными в Паспорт закупки или информацией об отмене проведения отбора.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Срок, место и порядок предоставления информации о проведении отбора</w:t>
            </w:r>
          </w:p>
        </w:tc>
        <w:tc>
          <w:tcPr>
            <w:tcW w:w="6285" w:type="dxa"/>
            <w:shd w:val="clear" w:color="auto" w:fill="auto"/>
            <w:vAlign w:val="center"/>
          </w:tcPr>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 xml:space="preserve">Паспорт закупки по отбору доступен в электронном формате на сайте Фонда </w:t>
            </w:r>
            <w:r>
              <w:fldChar w:fldCharType="begin"/>
            </w:r>
            <w:r>
              <w:instrText xml:space="preserve"> HYPERLINK "http://www.iostrov.ru" </w:instrText>
            </w:r>
            <w:r>
              <w:fldChar w:fldCharType="separate"/>
            </w:r>
            <w:r>
              <w:rPr>
                <w:rStyle w:val="18"/>
                <w:rFonts w:eastAsia="Calibri"/>
                <w:sz w:val="24"/>
                <w:szCs w:val="24"/>
                <w:lang w:val="en-US" w:eastAsia="en-US"/>
              </w:rPr>
              <w:t>www</w:t>
            </w:r>
            <w:r>
              <w:rPr>
                <w:rStyle w:val="18"/>
                <w:rFonts w:eastAsia="Calibri"/>
                <w:sz w:val="24"/>
                <w:szCs w:val="24"/>
                <w:lang w:eastAsia="en-US"/>
              </w:rPr>
              <w:t>.</w:t>
            </w:r>
            <w:r>
              <w:rPr>
                <w:rStyle w:val="18"/>
                <w:rFonts w:eastAsia="Calibri"/>
                <w:sz w:val="24"/>
                <w:szCs w:val="24"/>
                <w:lang w:val="en-US" w:eastAsia="en-US"/>
              </w:rPr>
              <w:t>iostrov</w:t>
            </w:r>
            <w:r>
              <w:rPr>
                <w:rStyle w:val="18"/>
                <w:rFonts w:eastAsia="Calibri"/>
                <w:sz w:val="24"/>
                <w:szCs w:val="24"/>
                <w:lang w:eastAsia="en-US"/>
              </w:rPr>
              <w:t>.</w:t>
            </w:r>
            <w:r>
              <w:rPr>
                <w:rStyle w:val="18"/>
                <w:rFonts w:eastAsia="Calibri"/>
                <w:sz w:val="24"/>
                <w:szCs w:val="24"/>
                <w:lang w:val="en-US" w:eastAsia="en-US"/>
              </w:rPr>
              <w:t>ru</w:t>
            </w:r>
            <w:r>
              <w:rPr>
                <w:rStyle w:val="18"/>
                <w:rFonts w:eastAsia="Calibri"/>
                <w:sz w:val="24"/>
                <w:szCs w:val="24"/>
                <w:lang w:val="en-US" w:eastAsia="en-US"/>
              </w:rPr>
              <w:fldChar w:fldCharType="end"/>
            </w:r>
          </w:p>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Плата за предоставление документации не взимается.</w:t>
            </w:r>
          </w:p>
        </w:tc>
      </w:tr>
    </w:tbl>
    <w:p>
      <w:pPr>
        <w:spacing w:after="200" w:line="276" w:lineRule="auto"/>
        <w:jc w:val="center"/>
        <w:rPr>
          <w:rFonts w:eastAsia="Arial Unicode MS"/>
          <w:b/>
          <w:iCs/>
          <w:color w:val="000000" w:themeColor="text1"/>
          <w:sz w:val="24"/>
          <w:szCs w:val="24"/>
          <w:lang w:eastAsia="zh-CN"/>
          <w14:textFill>
            <w14:solidFill>
              <w14:schemeClr w14:val="tx1"/>
            </w14:solidFill>
          </w14:textFill>
        </w:rPr>
      </w:pPr>
      <w:r>
        <w:rPr>
          <w:rFonts w:eastAsia="Arial Unicode MS"/>
          <w:b/>
          <w:sz w:val="22"/>
          <w:szCs w:val="22"/>
          <w:lang w:eastAsia="zh-CN"/>
        </w:rPr>
        <w:br w:type="page"/>
      </w:r>
      <w:bookmarkStart w:id="3" w:name="_Toc365971891"/>
      <w:bookmarkStart w:id="4" w:name="_Toc412471600"/>
      <w:r>
        <w:rPr>
          <w:rFonts w:eastAsia="Arial Unicode MS"/>
          <w:b/>
          <w:iCs/>
          <w:caps/>
          <w:color w:val="000000" w:themeColor="text1"/>
          <w:sz w:val="24"/>
          <w:szCs w:val="24"/>
          <w:lang w:eastAsia="zh-CN"/>
          <w14:textFill>
            <w14:solidFill>
              <w14:schemeClr w14:val="tx1"/>
            </w14:solidFill>
          </w14:textFill>
        </w:rPr>
        <w:t>Раздел 3</w:t>
      </w:r>
      <w:r>
        <w:rPr>
          <w:rFonts w:eastAsia="Arial Unicode MS"/>
          <w:b/>
          <w:iCs/>
          <w:color w:val="000000" w:themeColor="text1"/>
          <w:sz w:val="24"/>
          <w:szCs w:val="24"/>
          <w:lang w:eastAsia="zh-CN"/>
          <w14:textFill>
            <w14:solidFill>
              <w14:schemeClr w14:val="tx1"/>
            </w14:solidFill>
          </w14:textFill>
        </w:rPr>
        <w:t>. ПОРЯДОК ПРОВЕДЕНИЯ ОТБОРА, ИНСТРУКЦИИ ПО ПОДГОТОВКЕ ЗАЯВОК НА УЧАСТИЕ В ОТБОРЕ</w:t>
      </w:r>
    </w:p>
    <w:bookmarkEnd w:id="3"/>
    <w:bookmarkEnd w:id="4"/>
    <w:p>
      <w:pPr>
        <w:pStyle w:val="149"/>
        <w:numPr>
          <w:ilvl w:val="1"/>
          <w:numId w:val="10"/>
        </w:numPr>
        <w:pBdr>
          <w:top w:val="none" w:color="000000" w:sz="0" w:space="0"/>
          <w:left w:val="none" w:color="000000" w:sz="0" w:space="0"/>
          <w:bottom w:val="none" w:color="000000" w:sz="0" w:space="0"/>
          <w:right w:val="none" w:color="000000" w:sz="0" w:space="0"/>
        </w:pBdr>
        <w:tabs>
          <w:tab w:val="left" w:pos="851"/>
          <w:tab w:val="left" w:pos="993"/>
          <w:tab w:val="left" w:pos="1134"/>
          <w:tab w:val="left" w:pos="1276"/>
        </w:tabs>
        <w:suppressAutoHyphens/>
        <w:ind w:right="-1"/>
        <w:contextualSpacing/>
        <w:jc w:val="center"/>
        <w:rPr>
          <w:rFonts w:eastAsia="Arial Unicode MS"/>
          <w:b/>
          <w:color w:val="000000" w:themeColor="text1"/>
          <w:sz w:val="24"/>
          <w:szCs w:val="24"/>
          <w:lang w:eastAsia="zh-CN"/>
          <w14:textFill>
            <w14:solidFill>
              <w14:schemeClr w14:val="tx1"/>
            </w14:solidFill>
          </w14:textFill>
        </w:rPr>
      </w:pPr>
      <w:r>
        <w:rPr>
          <w:rFonts w:eastAsia="Arial Unicode MS"/>
          <w:b/>
          <w:color w:val="000000" w:themeColor="text1"/>
          <w:sz w:val="24"/>
          <w:szCs w:val="24"/>
          <w:lang w:eastAsia="zh-CN"/>
          <w14:textFill>
            <w14:solidFill>
              <w14:schemeClr w14:val="tx1"/>
            </w14:solidFill>
          </w14:textFill>
        </w:rPr>
        <w:t>Общие требования к подготовке заявки на участие в отборе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3.1.1. Участник должен подготовить заявку, включающую в себя полный комплект документов согласно перечню, определенному в разделе </w:t>
      </w:r>
      <w:r>
        <w:rPr>
          <w:rFonts w:hint="default" w:eastAsia="Calibri"/>
          <w:color w:val="000000" w:themeColor="text1"/>
          <w:sz w:val="24"/>
          <w:szCs w:val="24"/>
          <w:lang w:val="ru-RU" w:eastAsia="zh-CN"/>
          <w14:textFill>
            <w14:solidFill>
              <w14:schemeClr w14:val="tx1"/>
            </w14:solidFill>
          </w14:textFill>
        </w:rPr>
        <w:t xml:space="preserve">4, </w:t>
      </w:r>
      <w:r>
        <w:rPr>
          <w:rFonts w:eastAsia="Calibri"/>
          <w:color w:val="000000" w:themeColor="text1"/>
          <w:sz w:val="24"/>
          <w:szCs w:val="24"/>
          <w:lang w:eastAsia="zh-CN"/>
          <w14:textFill>
            <w14:solidFill>
              <w14:schemeClr w14:val="tx1"/>
            </w14:solidFill>
          </w14:textFill>
        </w:rPr>
        <w:t>в соответствии с образцами форм, установленными в разделе 7.</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Заявка, вся корреспонденция и документация, связанные с этой заявкой, должны быть написаны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3.1.2. Заявка может быть написана на другом языке при условии, что к ней будет прилагаться нотариально заверенный перевод всех разделов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граждан или иностранных лиц, принимаются Тендерной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lang w:eastAsia="zh-CN"/>
          <w14:textFill>
            <w14:solidFill>
              <w14:schemeClr w14:val="tx1"/>
            </w14:solidFill>
          </w14:textFill>
        </w:rPr>
        <w:t>3.1.4.</w:t>
      </w:r>
      <w:r>
        <w:rPr>
          <w:rFonts w:eastAsia="Calibri"/>
          <w:b/>
          <w:color w:val="000000" w:themeColor="text1"/>
          <w:sz w:val="24"/>
          <w:szCs w:val="24"/>
          <w:lang w:eastAsia="zh-CN"/>
          <w14:textFill>
            <w14:solidFill>
              <w14:schemeClr w14:val="tx1"/>
            </w14:solidFill>
          </w14:textFill>
        </w:rPr>
        <w:t xml:space="preserve"> </w:t>
      </w:r>
      <w:r>
        <w:rPr>
          <w:color w:val="000000" w:themeColor="text1"/>
          <w:sz w:val="24"/>
          <w:szCs w:val="24"/>
          <w14:textFill>
            <w14:solidFill>
              <w14:schemeClr w14:val="tx1"/>
            </w14:solidFill>
          </w14:textFill>
        </w:rPr>
        <w:t xml:space="preserve">Для участия в отборе любое лицо представляет свою заявку, оформленную согласно требованиям, установленным в Паспортом закупки о проведении отбора. </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3.1.5. Заявка оформляется на фирменном бланке участника отбора (при наличии), заверяется уполномоченным лицом участника и подается в электронном виде (скан-копия) через функционал электронной торговой площадки.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xml:space="preserve">3.1.6. Все формы и документы, входящие в состав заявки, должны быть указаны в представленной описи документов по форме </w:t>
      </w:r>
      <w:r>
        <w:rPr>
          <w:rFonts w:eastAsia="Calibri"/>
          <w:i/>
          <w:color w:val="000000" w:themeColor="text1"/>
          <w:sz w:val="24"/>
          <w:szCs w:val="24"/>
          <w14:textFill>
            <w14:solidFill>
              <w14:schemeClr w14:val="tx1"/>
            </w14:solidFill>
          </w14:textFill>
        </w:rPr>
        <w:t>Приложения № 1</w:t>
      </w:r>
      <w:r>
        <w:rPr>
          <w:rFonts w:eastAsia="Calibri"/>
          <w:color w:val="000000" w:themeColor="text1"/>
          <w:sz w:val="24"/>
          <w:szCs w:val="24"/>
          <w14:textFill>
            <w14:solidFill>
              <w14:schemeClr w14:val="tx1"/>
            </w14:solidFill>
          </w14:textFill>
        </w:rPr>
        <w:t xml:space="preserve"> с указанием количества листов. </w:t>
      </w:r>
      <w:r>
        <w:rPr>
          <w:color w:val="000000" w:themeColor="text1"/>
          <w:sz w:val="24"/>
          <w:szCs w:val="24"/>
          <w14:textFill>
            <w14:solidFill>
              <w14:schemeClr w14:val="tx1"/>
            </w14:solidFill>
          </w14:textFill>
        </w:rPr>
        <w:t>Соблюдение участником отбора указанных требований означает, что все документы и сведения, входящие в состав заявки,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3.1.7. </w:t>
      </w:r>
      <w:r>
        <w:rPr>
          <w:rFonts w:eastAsia="Calibri"/>
          <w:color w:val="000000" w:themeColor="text1"/>
          <w:sz w:val="24"/>
          <w:szCs w:val="24"/>
          <w14:textFill>
            <w14:solidFill>
              <w14:schemeClr w14:val="tx1"/>
            </w14:solidFill>
          </w14:textFill>
        </w:rPr>
        <w:t>Все документы (копии документов), входящие в заявку, должны иметь необходимые для их идентификации реквизиты (дату выдачи, исходящий номер, должность и подпись подписавшего лица с расшифровкой, печать).</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3.1.8. </w:t>
      </w:r>
      <w:r>
        <w:rPr>
          <w:sz w:val="24"/>
          <w:szCs w:val="24"/>
          <w:lang w:eastAsia="en-US"/>
        </w:rPr>
        <w:t>Все документы (копии документов) заявки и приложения к ней должны иметь читаемый текст</w:t>
      </w:r>
      <w:r>
        <w:rPr>
          <w:bCs/>
          <w:sz w:val="24"/>
          <w:szCs w:val="24"/>
        </w:rPr>
        <w:t>. Ответственность за достоверность сведений (информации, документов) содержащихся в заявке на участие в процедуре отбора, несет участник.</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firstLine="540"/>
        <w:contextualSpacing/>
        <w:jc w:val="both"/>
        <w:outlineLvl w:val="2"/>
        <w:rPr>
          <w:bCs/>
          <w:iCs/>
          <w:sz w:val="24"/>
          <w:szCs w:val="24"/>
          <w:lang w:eastAsia="zh-CN"/>
        </w:rPr>
      </w:pPr>
    </w:p>
    <w:p>
      <w:pPr>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Требования к кандидатам (участникам)</w:t>
      </w:r>
      <w:r>
        <w:rPr>
          <w:rFonts w:hint="default" w:eastAsia="Calibri"/>
          <w:b/>
          <w:color w:val="000000" w:themeColor="text1"/>
          <w:sz w:val="24"/>
          <w:szCs w:val="24"/>
          <w:lang w:val="ru-RU" w:eastAsia="zh-CN"/>
          <w14:textFill>
            <w14:solidFill>
              <w14:schemeClr w14:val="tx1"/>
            </w14:solidFill>
          </w14:textFill>
        </w:rPr>
        <w:t>.</w:t>
      </w:r>
    </w:p>
    <w:p>
      <w:pPr>
        <w:pStyle w:val="103"/>
        <w:rPr>
          <w:szCs w:val="24"/>
        </w:rPr>
      </w:pPr>
      <w:r>
        <w:rPr>
          <w:rFonts w:eastAsia="Calibri"/>
          <w:color w:val="000000" w:themeColor="text1"/>
          <w:szCs w:val="24"/>
          <w:lang w:eastAsia="zh-CN"/>
          <w14:textFill>
            <w14:solidFill>
              <w14:schemeClr w14:val="tx1"/>
            </w14:solidFill>
          </w14:textFill>
        </w:rPr>
        <w:t xml:space="preserve">3.2.1. </w:t>
      </w:r>
      <w:r>
        <w:rPr>
          <w:szCs w:val="24"/>
        </w:rPr>
        <w:t>Кандидатами (участниками) в отборе могут являться любое юридическое или индивидуальный предприниматель, или несколько юридических лиц (индивидуальных предпринимателей),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3.2.2. 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p>
    <w:p>
      <w:pPr>
        <w:jc w:val="both"/>
        <w:rPr>
          <w:sz w:val="24"/>
          <w:szCs w:val="24"/>
        </w:rPr>
      </w:pPr>
      <w:r>
        <w:rPr>
          <w:sz w:val="24"/>
          <w:szCs w:val="24"/>
        </w:rPr>
        <w:t>1)</w:t>
      </w:r>
      <w:r>
        <w:rPr>
          <w:sz w:val="24"/>
          <w:szCs w:val="24"/>
        </w:rPr>
        <w:tab/>
      </w:r>
      <w:r>
        <w:rPr>
          <w:sz w:val="24"/>
          <w:szCs w:val="24"/>
        </w:rPr>
        <w:t>быть правомочным заключать договор;</w:t>
      </w:r>
    </w:p>
    <w:p>
      <w:pPr>
        <w:jc w:val="both"/>
        <w:rPr>
          <w:sz w:val="24"/>
          <w:szCs w:val="24"/>
        </w:rPr>
      </w:pPr>
      <w:r>
        <w:rPr>
          <w:sz w:val="24"/>
          <w:szCs w:val="24"/>
        </w:rPr>
        <w:t>2)</w:t>
      </w:r>
      <w:r>
        <w:rPr>
          <w:sz w:val="24"/>
          <w:szCs w:val="24"/>
        </w:rPr>
        <w:tab/>
      </w: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ind w:firstLine="600" w:firstLineChars="250"/>
        <w:jc w:val="both"/>
        <w:rPr>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pPr>
        <w:jc w:val="both"/>
        <w:rPr>
          <w:sz w:val="24"/>
          <w:szCs w:val="24"/>
        </w:rPr>
      </w:pPr>
      <w:r>
        <w:rPr>
          <w:sz w:val="24"/>
          <w:szCs w:val="24"/>
        </w:rPr>
        <w:t>3)</w:t>
      </w:r>
      <w:r>
        <w:rPr>
          <w:sz w:val="24"/>
          <w:szCs w:val="24"/>
        </w:rPr>
        <w:tab/>
      </w: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jc w:val="both"/>
        <w:rPr>
          <w:sz w:val="24"/>
          <w:szCs w:val="24"/>
        </w:rPr>
      </w:pPr>
      <w:r>
        <w:rPr>
          <w:sz w:val="24"/>
          <w:szCs w:val="24"/>
        </w:rPr>
        <w:t>4)</w:t>
      </w:r>
      <w:r>
        <w:rPr>
          <w:sz w:val="24"/>
          <w:szCs w:val="24"/>
        </w:rPr>
        <w:tab/>
      </w: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jc w:val="both"/>
        <w:rPr>
          <w:sz w:val="24"/>
          <w:szCs w:val="24"/>
        </w:rPr>
      </w:pPr>
      <w:r>
        <w:rPr>
          <w:sz w:val="24"/>
          <w:szCs w:val="24"/>
        </w:rPr>
        <w:t>5)</w:t>
      </w:r>
      <w:r>
        <w:rPr>
          <w:sz w:val="24"/>
          <w:szCs w:val="24"/>
        </w:rPr>
        <w:tab/>
      </w: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jc w:val="both"/>
        <w:rPr>
          <w:sz w:val="24"/>
          <w:szCs w:val="24"/>
        </w:rPr>
      </w:pPr>
      <w:r>
        <w:rPr>
          <w:sz w:val="24"/>
          <w:szCs w:val="24"/>
        </w:rPr>
        <w:t>6)</w:t>
      </w:r>
      <w:r>
        <w:rPr>
          <w:sz w:val="24"/>
          <w:szCs w:val="24"/>
        </w:rPr>
        <w:tab/>
      </w:r>
      <w:r>
        <w:rPr>
          <w:sz w:val="24"/>
          <w:szCs w:val="24"/>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Отбора, по данным бухгалтерской (финансовой) отчетности за последний отчетный период. Кандидат на участие в Отборе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отборе не принято;</w:t>
      </w:r>
    </w:p>
    <w:p>
      <w:pPr>
        <w:jc w:val="both"/>
        <w:rPr>
          <w:sz w:val="24"/>
          <w:szCs w:val="24"/>
        </w:rPr>
      </w:pPr>
      <w:r>
        <w:rPr>
          <w:sz w:val="24"/>
          <w:szCs w:val="24"/>
        </w:rPr>
        <w:t>7)</w:t>
      </w:r>
      <w:r>
        <w:rPr>
          <w:sz w:val="24"/>
          <w:szCs w:val="24"/>
        </w:rPr>
        <w:tab/>
      </w:r>
      <w:r>
        <w:rPr>
          <w:sz w:val="24"/>
          <w:szCs w:val="24"/>
        </w:rPr>
        <w:t>деятельность кандидата на участие в Отборе не должна быть приостановлена в порядке, установленном Кодексом Российской Федерации об административных правонарушениях;</w:t>
      </w:r>
    </w:p>
    <w:p>
      <w:pPr>
        <w:jc w:val="both"/>
        <w:rPr>
          <w:sz w:val="24"/>
          <w:szCs w:val="24"/>
        </w:rPr>
      </w:pPr>
      <w:r>
        <w:rPr>
          <w:sz w:val="24"/>
          <w:szCs w:val="24"/>
        </w:rPr>
        <w:t>8)</w:t>
      </w:r>
      <w:r>
        <w:rPr>
          <w:sz w:val="24"/>
          <w:szCs w:val="24"/>
        </w:rPr>
        <w:tab/>
      </w: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w:t>
      </w:r>
      <w:r>
        <w:rPr>
          <w:rFonts w:eastAsia="Calibri"/>
          <w:color w:val="000000" w:themeColor="text1"/>
          <w:sz w:val="24"/>
          <w:szCs w:val="24"/>
          <w:lang w:eastAsia="zh-CN"/>
          <w14:textFill>
            <w14:solidFill>
              <w14:schemeClr w14:val="tx1"/>
            </w14:solidFill>
          </w14:textFill>
        </w:rPr>
        <w:t>Паспорта закупки о проведении отбора</w:t>
      </w:r>
      <w:r>
        <w:rPr>
          <w:sz w:val="24"/>
          <w:szCs w:val="24"/>
        </w:rPr>
        <w:t xml:space="preserve">; </w:t>
      </w:r>
    </w:p>
    <w:p>
      <w:pPr>
        <w:jc w:val="both"/>
        <w:rPr>
          <w:sz w:val="24"/>
          <w:szCs w:val="24"/>
        </w:rPr>
      </w:pPr>
      <w:r>
        <w:rPr>
          <w:sz w:val="24"/>
          <w:szCs w:val="24"/>
        </w:rPr>
        <w:t>9)</w:t>
      </w:r>
      <w:r>
        <w:rPr>
          <w:sz w:val="24"/>
          <w:szCs w:val="24"/>
        </w:rPr>
        <w:tab/>
      </w:r>
      <w:r>
        <w:rPr>
          <w:sz w:val="24"/>
          <w:szCs w:val="24"/>
        </w:rPr>
        <w:t>не быть включенным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p>
      <w:pPr>
        <w:jc w:val="both"/>
        <w:rPr>
          <w:sz w:val="24"/>
          <w:szCs w:val="24"/>
        </w:rPr>
      </w:pPr>
      <w:r>
        <w:rPr>
          <w:sz w:val="24"/>
          <w:szCs w:val="24"/>
        </w:rPr>
        <w:t>10)</w:t>
      </w:r>
      <w:r>
        <w:rPr>
          <w:sz w:val="24"/>
          <w:szCs w:val="24"/>
        </w:rPr>
        <w:tab/>
      </w:r>
      <w:r>
        <w:rPr>
          <w:sz w:val="24"/>
          <w:szCs w:val="24"/>
        </w:rPr>
        <w:t xml:space="preserve">у кандидата на участие в Отборе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кандидата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Отбора, и административного наказания в виде дисквалификации; </w:t>
      </w:r>
    </w:p>
    <w:p>
      <w:pPr>
        <w:jc w:val="both"/>
        <w:rPr>
          <w:sz w:val="24"/>
          <w:szCs w:val="24"/>
        </w:rPr>
      </w:pPr>
      <w:r>
        <w:rPr>
          <w:sz w:val="24"/>
          <w:szCs w:val="24"/>
        </w:rPr>
        <w:t>11)</w:t>
      </w:r>
      <w:r>
        <w:rPr>
          <w:sz w:val="24"/>
          <w:szCs w:val="24"/>
        </w:rPr>
        <w:tab/>
      </w:r>
      <w:r>
        <w:rPr>
          <w:sz w:val="24"/>
          <w:szCs w:val="24"/>
        </w:rPr>
        <w:t>у кандидата на участие в Отборе - юридического лица должны отсутствовать факт привлечения в течение двух лет до момента подачи заявки на участие в Отборе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sz w:val="24"/>
          <w:szCs w:val="24"/>
        </w:rPr>
        <w:t>12)</w:t>
      </w:r>
      <w:r>
        <w:rPr>
          <w:sz w:val="24"/>
          <w:szCs w:val="24"/>
        </w:rPr>
        <w:tab/>
      </w:r>
      <w:r>
        <w:rPr>
          <w:sz w:val="24"/>
          <w:szCs w:val="24"/>
        </w:rPr>
        <w:t>между кандидатами на участие в Отборе и Заказчиком должен отсутствовать конфликт интересов;</w:t>
      </w:r>
    </w:p>
    <w:p>
      <w:pPr>
        <w:jc w:val="both"/>
        <w:rPr>
          <w:sz w:val="24"/>
          <w:szCs w:val="24"/>
        </w:rPr>
      </w:pPr>
      <w:r>
        <w:rPr>
          <w:sz w:val="24"/>
          <w:szCs w:val="24"/>
        </w:rPr>
        <w:t>13)</w:t>
      </w:r>
      <w:r>
        <w:rPr>
          <w:sz w:val="24"/>
          <w:szCs w:val="24"/>
        </w:rPr>
        <w:tab/>
      </w:r>
      <w:r>
        <w:rPr>
          <w:sz w:val="24"/>
          <w:szCs w:val="24"/>
        </w:rPr>
        <w:t>не являться оффшорной компанией;</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sz w:val="24"/>
          <w:szCs w:val="24"/>
        </w:rPr>
      </w:pPr>
      <w:r>
        <w:rPr>
          <w:sz w:val="24"/>
          <w:szCs w:val="24"/>
        </w:rPr>
        <w:t>14)</w:t>
      </w:r>
      <w:r>
        <w:rPr>
          <w:sz w:val="24"/>
          <w:szCs w:val="24"/>
        </w:rPr>
        <w:tab/>
      </w: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Указанные требования предъявляются ко всем участникам и проверяются Заказчиком самостоятельно с использованием любых систем проверки контрагентов, в том числе с использованием информационной системы «СПАРК».</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highlight w:val="none"/>
          <w:lang w:eastAsia="zh-CN"/>
          <w14:textFill>
            <w14:solidFill>
              <w14:schemeClr w14:val="tx1"/>
            </w14:solidFill>
          </w14:textFill>
        </w:rPr>
      </w:pPr>
      <w:r>
        <w:rPr>
          <w:rFonts w:hint="default" w:eastAsia="Calibri"/>
          <w:color w:val="000000" w:themeColor="text1"/>
          <w:sz w:val="24"/>
          <w:szCs w:val="24"/>
          <w:highlight w:val="none"/>
          <w:lang w:val="ru-RU" w:eastAsia="zh-CN"/>
          <w14:textFill>
            <w14:solidFill>
              <w14:schemeClr w14:val="tx1"/>
            </w14:solidFill>
          </w14:textFill>
        </w:rPr>
        <w:t xml:space="preserve">3.2.3. </w:t>
      </w:r>
      <w:r>
        <w:rPr>
          <w:rFonts w:hint="default" w:eastAsia="Calibri"/>
          <w:color w:val="000000" w:themeColor="text1"/>
          <w:sz w:val="24"/>
          <w:szCs w:val="24"/>
          <w:highlight w:val="none"/>
          <w:lang w:eastAsia="zh-CN"/>
          <w14:textFill>
            <w14:solidFill>
              <w14:schemeClr w14:val="tx1"/>
            </w14:solidFill>
          </w14:textFill>
        </w:rPr>
        <w:t xml:space="preserve">В случае подачи заявки на участие коллективным </w:t>
      </w:r>
      <w:r>
        <w:rPr>
          <w:rFonts w:hint="default" w:eastAsia="Calibri"/>
          <w:color w:val="000000" w:themeColor="text1"/>
          <w:sz w:val="24"/>
          <w:szCs w:val="24"/>
          <w:highlight w:val="none"/>
          <w:lang w:val="ru-RU" w:eastAsia="zh-CN"/>
          <w14:textFill>
            <w14:solidFill>
              <w14:schemeClr w14:val="tx1"/>
            </w14:solidFill>
          </w14:textFill>
        </w:rPr>
        <w:t>у</w:t>
      </w:r>
      <w:r>
        <w:rPr>
          <w:rFonts w:hint="default" w:eastAsia="Calibri"/>
          <w:color w:val="000000" w:themeColor="text1"/>
          <w:sz w:val="24"/>
          <w:szCs w:val="24"/>
          <w:highlight w:val="none"/>
          <w:lang w:eastAsia="zh-CN"/>
          <w14:textFill>
            <w14:solidFill>
              <w14:schemeClr w14:val="tx1"/>
            </w14:solidFill>
          </w14:textFill>
        </w:rPr>
        <w:t>частником, каждый его член должен соответствовать требованиям, указанным в п</w:t>
      </w:r>
      <w:r>
        <w:rPr>
          <w:rFonts w:hint="default" w:eastAsia="Calibri"/>
          <w:color w:val="000000" w:themeColor="text1"/>
          <w:sz w:val="24"/>
          <w:szCs w:val="24"/>
          <w:highlight w:val="none"/>
          <w:lang w:val="ru-RU" w:eastAsia="zh-CN"/>
          <w14:textFill>
            <w14:solidFill>
              <w14:schemeClr w14:val="tx1"/>
            </w14:solidFill>
          </w14:textFill>
        </w:rPr>
        <w:t xml:space="preserve">. 3.2.2 </w:t>
      </w:r>
      <w:r>
        <w:rPr>
          <w:rFonts w:hint="default" w:eastAsia="Calibri"/>
          <w:color w:val="000000" w:themeColor="text1"/>
          <w:sz w:val="24"/>
          <w:szCs w:val="24"/>
          <w:highlight w:val="none"/>
          <w:lang w:eastAsia="zh-CN"/>
          <w14:textFill>
            <w14:solidFill>
              <w14:schemeClr w14:val="tx1"/>
            </w14:solidFill>
          </w14:textFill>
        </w:rPr>
        <w:t xml:space="preserve"> настояще</w:t>
      </w:r>
      <w:r>
        <w:rPr>
          <w:rFonts w:hint="default" w:eastAsia="Calibri"/>
          <w:color w:val="000000" w:themeColor="text1"/>
          <w:sz w:val="24"/>
          <w:szCs w:val="24"/>
          <w:highlight w:val="none"/>
          <w:lang w:val="ru-RU" w:eastAsia="zh-CN"/>
          <w14:textFill>
            <w14:solidFill>
              <w14:schemeClr w14:val="tx1"/>
            </w14:solidFill>
          </w14:textFill>
        </w:rPr>
        <w:t>го Паспорта закупки</w:t>
      </w:r>
      <w:r>
        <w:rPr>
          <w:rFonts w:hint="default" w:eastAsia="Calibri"/>
          <w:color w:val="000000" w:themeColor="text1"/>
          <w:sz w:val="24"/>
          <w:szCs w:val="24"/>
          <w:highlight w:val="none"/>
          <w:lang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w:t>
      </w:r>
      <w:r>
        <w:rPr>
          <w:rFonts w:hint="default" w:eastAsia="Calibri"/>
          <w:color w:val="000000" w:themeColor="text1"/>
          <w:sz w:val="24"/>
          <w:szCs w:val="24"/>
          <w:lang w:val="ru-RU" w:eastAsia="zh-CN"/>
          <w14:textFill>
            <w14:solidFill>
              <w14:schemeClr w14:val="tx1"/>
            </w14:solidFill>
          </w14:textFill>
        </w:rPr>
        <w:t>4</w:t>
      </w:r>
      <w:r>
        <w:rPr>
          <w:rFonts w:eastAsia="Calibri"/>
          <w:color w:val="000000" w:themeColor="text1"/>
          <w:sz w:val="24"/>
          <w:szCs w:val="24"/>
          <w:lang w:eastAsia="zh-CN"/>
          <w14:textFill>
            <w14:solidFill>
              <w14:schemeClr w14:val="tx1"/>
            </w14:solidFill>
          </w14:textFill>
        </w:rPr>
        <w:t>. При проведении отбора Заказчиком устанавливаются квалификационные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 xml:space="preserve">участникам </w:t>
      </w:r>
      <w:r>
        <w:rPr>
          <w:rFonts w:eastAsia="Arial Unicode MS"/>
          <w:color w:val="000000" w:themeColor="text1"/>
          <w:sz w:val="24"/>
          <w:szCs w:val="24"/>
          <w:lang w:eastAsia="zh-CN"/>
          <w14:textFill>
            <w14:solidFill>
              <w14:schemeClr w14:val="tx1"/>
            </w14:solidFill>
          </w14:textFill>
        </w:rPr>
        <w:t>(требования и документы перечислены в разделе 5).</w:t>
      </w:r>
      <w:r>
        <w:rPr>
          <w:sz w:val="24"/>
          <w:szCs w:val="24"/>
        </w:rPr>
        <w:tab/>
      </w:r>
    </w:p>
    <w:p>
      <w:pPr>
        <w:pStyle w:val="164"/>
        <w:keepNext w:val="0"/>
        <w:keepLines w:val="0"/>
        <w:pageBreakBefore w:val="0"/>
        <w:widowControl w:val="0"/>
        <w:numPr>
          <w:ilvl w:val="1"/>
          <w:numId w:val="10"/>
        </w:numPr>
        <w:tabs>
          <w:tab w:val="left" w:pos="708"/>
        </w:tabs>
        <w:kinsoku/>
        <w:wordWrap/>
        <w:overflowPunct/>
        <w:topLinePunct w:val="0"/>
        <w:autoSpaceDE/>
        <w:autoSpaceDN/>
        <w:bidi w:val="0"/>
        <w:adjustRightInd w:val="0"/>
        <w:snapToGrid/>
        <w:spacing w:before="240" w:after="120"/>
        <w:ind w:left="1213" w:hanging="363"/>
        <w:jc w:val="center"/>
        <w:textAlignment w:val="baseline"/>
        <w:rPr>
          <w:rFonts w:eastAsia="Calibri"/>
          <w:color w:val="000000" w:themeColor="text1"/>
          <w:szCs w:val="24"/>
          <w:lang w:eastAsia="zh-CN"/>
          <w14:textFill>
            <w14:solidFill>
              <w14:schemeClr w14:val="tx1"/>
            </w14:solidFill>
          </w14:textFill>
        </w:rPr>
      </w:pPr>
      <w:r>
        <w:rPr>
          <w:rFonts w:eastAsia="Calibri"/>
          <w:b/>
          <w:color w:val="000000" w:themeColor="text1"/>
          <w:szCs w:val="24"/>
          <w:lang w:eastAsia="zh-CN"/>
          <w14:textFill>
            <w14:solidFill>
              <w14:schemeClr w14:val="tx1"/>
            </w14:solidFill>
          </w14:textFill>
        </w:rPr>
        <w:t>Разъяснение положений Паспорта закупки об отборе</w:t>
      </w:r>
      <w:r>
        <w:rPr>
          <w:rFonts w:hint="default" w:eastAsia="Calibri"/>
          <w:b/>
          <w:color w:val="000000" w:themeColor="text1"/>
          <w:szCs w:val="24"/>
          <w:lang w:val="ru-RU"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3.3.1. Любое заинтересованное лицо вправе направить на электронную почту Заказчика, указанную в Разделе 2 Паспорта закупки, запрос о разъяснении его положений о проведении отбора (далее - запрос).</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3.3.2. Заказчик в течение 3 (трех) дней со дня поступления запроса предоставляет кандидату разъяснения  по отбору на электронный адрес, с которого поступил запрос, но не позднее срока окончания приема заявок.</w:t>
      </w:r>
    </w:p>
    <w:p>
      <w:pPr>
        <w:pStyle w:val="149"/>
        <w:keepNext w:val="0"/>
        <w:keepLines w:val="0"/>
        <w:pageBreakBefore w:val="0"/>
        <w:widowControl/>
        <w:numPr>
          <w:ilvl w:val="1"/>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kinsoku/>
        <w:wordWrap/>
        <w:overflowPunct/>
        <w:topLinePunct w:val="0"/>
        <w:autoSpaceDE/>
        <w:autoSpaceDN/>
        <w:bidi w:val="0"/>
        <w:adjustRightInd/>
        <w:snapToGrid w:val="0"/>
        <w:spacing w:before="240" w:after="120"/>
        <w:ind w:left="1213" w:hanging="363"/>
        <w:contextualSpacing/>
        <w:jc w:val="center"/>
        <w:textAlignment w:val="auto"/>
        <w:rPr>
          <w:sz w:val="24"/>
          <w:szCs w:val="24"/>
        </w:rPr>
      </w:pPr>
      <w:r>
        <w:rPr>
          <w:rFonts w:eastAsia="Arial Unicode MS"/>
          <w:b/>
          <w:color w:val="000000" w:themeColor="text1"/>
          <w:sz w:val="24"/>
          <w:szCs w:val="24"/>
          <w:lang w:eastAsia="zh-CN"/>
          <w14:textFill>
            <w14:solidFill>
              <w14:schemeClr w14:val="tx1"/>
            </w14:solidFill>
          </w14:textFill>
        </w:rPr>
        <w:t>Подача заявок</w:t>
      </w:r>
      <w:r>
        <w:rPr>
          <w:rFonts w:hint="default" w:eastAsia="Arial Unicode MS"/>
          <w:b/>
          <w:color w:val="000000" w:themeColor="text1"/>
          <w:sz w:val="24"/>
          <w:szCs w:val="24"/>
          <w:lang w:val="ru-RU" w:eastAsia="zh-CN"/>
          <w14:textFill>
            <w14:solidFill>
              <w14:schemeClr w14:val="tx1"/>
            </w14:solidFill>
          </w14:textFill>
        </w:rPr>
        <w:t>.</w:t>
      </w:r>
    </w:p>
    <w:p>
      <w:pPr>
        <w:pStyle w:val="149"/>
        <w:numPr>
          <w:ilvl w:val="2"/>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spacing w:before="360" w:beforeLines="150"/>
        <w:ind w:left="0" w:firstLine="0"/>
        <w:contextualSpacing/>
        <w:jc w:val="both"/>
        <w:rPr>
          <w:sz w:val="24"/>
          <w:szCs w:val="24"/>
        </w:rPr>
      </w:pPr>
      <w:r>
        <w:rPr>
          <w:rFonts w:eastAsia="Calibri"/>
          <w:color w:val="000000"/>
          <w:sz w:val="24"/>
          <w:szCs w:val="24"/>
          <w:lang w:eastAsia="en-US"/>
        </w:rPr>
        <w:t xml:space="preserve">Заявки на участие в процедуре отбора </w:t>
      </w:r>
      <w:r>
        <w:rPr>
          <w:sz w:val="24"/>
          <w:szCs w:val="24"/>
        </w:rPr>
        <w:t>а также все сведения и документы, которые входят в ее состав</w:t>
      </w:r>
      <w:r>
        <w:rPr>
          <w:rFonts w:eastAsia="Calibri"/>
          <w:color w:val="000000"/>
          <w:sz w:val="24"/>
          <w:szCs w:val="24"/>
          <w:lang w:eastAsia="en-US"/>
        </w:rPr>
        <w:t xml:space="preserve"> подаются</w:t>
      </w:r>
      <w:r>
        <w:rPr>
          <w:sz w:val="24"/>
          <w:szCs w:val="24"/>
        </w:rPr>
        <w:t xml:space="preserve"> участниками отбора в электронной форме через функционал электронной торговой площадки по адресу: </w:t>
      </w:r>
      <w:r>
        <w:rPr>
          <w:sz w:val="24"/>
          <w:szCs w:val="24"/>
          <w:u w:val="single"/>
        </w:rPr>
        <w:t>www.roseltorg.ru</w:t>
      </w:r>
      <w:r>
        <w:rPr>
          <w:sz w:val="24"/>
          <w:szCs w:val="24"/>
        </w:rPr>
        <w:t xml:space="preserve"> </w:t>
      </w:r>
      <w:r>
        <w:rPr>
          <w:rFonts w:eastAsia="Calibri"/>
          <w:sz w:val="24"/>
          <w:szCs w:val="24"/>
        </w:rPr>
        <w:t xml:space="preserve"> в виде электронного документа в соответствии с порядком (регламентом) и требованиями, установленными оператором электронной площадки, а также требованиями, настоящего раздела.</w:t>
      </w:r>
      <w:r>
        <w:rPr>
          <w:sz w:val="24"/>
          <w:szCs w:val="24"/>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Регистрация на электронной площадке, а также участие в предварительном отборе осуществляется без взимания платы с Участника предварительного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rFonts w:eastAsia="Calibri"/>
          <w:color w:val="000000" w:themeColor="text1"/>
          <w:sz w:val="24"/>
          <w:szCs w:val="24"/>
          <w:lang w:eastAsia="zh-CN"/>
          <w14:textFill>
            <w14:solidFill>
              <w14:schemeClr w14:val="tx1"/>
            </w14:solidFill>
          </w14:textFill>
        </w:rPr>
        <w:t xml:space="preserve">Заявки могут подаваться со дня опубликования Паспорта закупки о проведении отбора и в течение всего периода приема заявок, установленного в Разделе 2.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Каждая Заявка, поступившая в установленные сроки, регистрируется оператором электронной площадки, с присвоением порядкового номера.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Участник вправе изменить или отозвать свою заявку до истечения срока подачи заявок.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Изменение заявки или уведомление о ее отзыве является действительным, если изменение осуществлено до истечения срока подачи заявок. В случае изменения заявки датой подачи заявки на участие считается дата подачи последних изменений.</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p>
    <w:p>
      <w:pPr>
        <w:tabs>
          <w:tab w:val="left" w:pos="709"/>
          <w:tab w:val="left" w:pos="993"/>
        </w:tabs>
        <w:jc w:val="both"/>
        <w:rPr>
          <w:sz w:val="24"/>
          <w:szCs w:val="24"/>
        </w:rPr>
      </w:pPr>
      <w:r>
        <w:rPr>
          <w:sz w:val="24"/>
          <w:szCs w:val="24"/>
        </w:rPr>
        <w:tab/>
      </w:r>
      <w:r>
        <w:rPr>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tabs>
          <w:tab w:val="left" w:pos="709"/>
          <w:tab w:val="left" w:pos="993"/>
        </w:tabs>
        <w:jc w:val="both"/>
        <w:rPr>
          <w:sz w:val="24"/>
          <w:szCs w:val="24"/>
        </w:rPr>
      </w:pPr>
      <w:r>
        <w:rPr>
          <w:sz w:val="24"/>
          <w:szCs w:val="24"/>
        </w:rPr>
        <w:tab/>
      </w:r>
      <w:r>
        <w:rPr>
          <w:sz w:val="24"/>
          <w:szCs w:val="24"/>
        </w:rPr>
        <w:t>2) установить четкое распределение объемов работ, выполняемых каждой организацией (если возможно);</w:t>
      </w:r>
    </w:p>
    <w:p>
      <w:pPr>
        <w:tabs>
          <w:tab w:val="left" w:pos="709"/>
          <w:tab w:val="left" w:pos="993"/>
        </w:tabs>
        <w:jc w:val="both"/>
        <w:rPr>
          <w:sz w:val="24"/>
          <w:szCs w:val="24"/>
        </w:rPr>
      </w:pPr>
      <w:r>
        <w:rPr>
          <w:sz w:val="24"/>
          <w:szCs w:val="24"/>
        </w:rPr>
        <w:tab/>
      </w:r>
      <w:r>
        <w:rPr>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tabs>
          <w:tab w:val="left" w:pos="709"/>
          <w:tab w:val="left" w:pos="993"/>
        </w:tabs>
        <w:jc w:val="both"/>
        <w:rPr>
          <w:sz w:val="24"/>
          <w:szCs w:val="24"/>
        </w:rPr>
      </w:pPr>
      <w:r>
        <w:rPr>
          <w:sz w:val="24"/>
          <w:szCs w:val="24"/>
        </w:rPr>
        <w:tab/>
      </w:r>
      <w:r>
        <w:rPr>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tabs>
          <w:tab w:val="left" w:pos="709"/>
          <w:tab w:val="left" w:pos="993"/>
        </w:tabs>
        <w:jc w:val="both"/>
        <w:rPr>
          <w:sz w:val="24"/>
          <w:szCs w:val="24"/>
        </w:rPr>
      </w:pPr>
      <w:r>
        <w:rPr>
          <w:sz w:val="24"/>
          <w:szCs w:val="24"/>
        </w:rPr>
        <w:tab/>
      </w:r>
      <w:r>
        <w:rPr>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tabs>
          <w:tab w:val="left" w:pos="709"/>
          <w:tab w:val="left" w:pos="993"/>
        </w:tabs>
        <w:jc w:val="both"/>
        <w:rPr>
          <w:sz w:val="24"/>
          <w:szCs w:val="24"/>
        </w:rPr>
      </w:pPr>
      <w:r>
        <w:rPr>
          <w:sz w:val="24"/>
          <w:szCs w:val="24"/>
        </w:rPr>
        <w:tab/>
      </w:r>
      <w:r>
        <w:rPr>
          <w:sz w:val="24"/>
          <w:szCs w:val="24"/>
        </w:rPr>
        <w:t>Отсутствие одного или нескольких из перечисленных в настоящем пункте условий в Договоре (соглашении о сотрудничестве)</w:t>
      </w:r>
      <w:r>
        <w:rPr>
          <w:b/>
          <w:sz w:val="24"/>
          <w:szCs w:val="24"/>
        </w:rPr>
        <w:t xml:space="preserve"> </w:t>
      </w:r>
      <w:r>
        <w:rPr>
          <w:sz w:val="24"/>
          <w:szCs w:val="24"/>
        </w:rPr>
        <w:t>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tabs>
          <w:tab w:val="left" w:pos="709"/>
          <w:tab w:val="left" w:pos="993"/>
        </w:tabs>
        <w:jc w:val="both"/>
        <w:rPr>
          <w:sz w:val="24"/>
          <w:szCs w:val="24"/>
        </w:rPr>
      </w:pPr>
      <w:r>
        <w:rPr>
          <w:sz w:val="24"/>
          <w:szCs w:val="24"/>
        </w:rPr>
        <w:tab/>
      </w:r>
      <w:r>
        <w:rPr>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tabs>
          <w:tab w:val="left" w:pos="709"/>
          <w:tab w:val="left" w:pos="993"/>
        </w:tabs>
        <w:jc w:val="both"/>
        <w:rPr>
          <w:sz w:val="24"/>
          <w:szCs w:val="24"/>
        </w:rPr>
      </w:pPr>
      <w:r>
        <w:rPr>
          <w:sz w:val="24"/>
          <w:szCs w:val="24"/>
        </w:rPr>
        <w:tab/>
      </w:r>
      <w:r>
        <w:rPr>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tabs>
          <w:tab w:val="left" w:pos="993"/>
        </w:tabs>
        <w:autoSpaceDE w:val="0"/>
        <w:autoSpaceDN w:val="0"/>
        <w:adjustRightInd w:val="0"/>
        <w:ind w:firstLine="567"/>
        <w:jc w:val="both"/>
        <w:rPr>
          <w:sz w:val="24"/>
          <w:szCs w:val="24"/>
        </w:rPr>
      </w:pPr>
      <w:r>
        <w:rPr>
          <w:sz w:val="24"/>
          <w:szCs w:val="24"/>
          <w:highlight w:val="none"/>
        </w:rPr>
        <w:t xml:space="preserve">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w:t>
      </w:r>
      <w:r>
        <w:rPr>
          <w:sz w:val="24"/>
          <w:szCs w:val="24"/>
        </w:rPr>
        <w:t>хотя бы у одного из участников объединения.</w:t>
      </w:r>
    </w:p>
    <w:p>
      <w:pPr>
        <w:tabs>
          <w:tab w:val="left" w:pos="993"/>
        </w:tabs>
        <w:autoSpaceDE w:val="0"/>
        <w:autoSpaceDN w:val="0"/>
        <w:adjustRightInd w:val="0"/>
        <w:ind w:firstLine="567"/>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tabs>
          <w:tab w:val="left" w:pos="993"/>
        </w:tabs>
        <w:autoSpaceDE w:val="0"/>
        <w:autoSpaceDN w:val="0"/>
        <w:adjustRightInd w:val="0"/>
        <w:ind w:firstLine="567"/>
        <w:jc w:val="both"/>
        <w:rPr>
          <w:sz w:val="24"/>
          <w:szCs w:val="24"/>
        </w:rPr>
      </w:pPr>
      <w:r>
        <w:rPr>
          <w:rFonts w:hint="default"/>
          <w:sz w:val="24"/>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pPr>
        <w:tabs>
          <w:tab w:val="left" w:pos="993"/>
        </w:tabs>
        <w:autoSpaceDE w:val="0"/>
        <w:autoSpaceDN w:val="0"/>
        <w:adjustRightInd w:val="0"/>
        <w:ind w:firstLine="567"/>
        <w:jc w:val="both"/>
        <w:rPr>
          <w:sz w:val="24"/>
          <w:szCs w:val="24"/>
        </w:rPr>
      </w:pPr>
      <w:r>
        <w:rPr>
          <w:sz w:val="24"/>
          <w:szCs w:val="24"/>
        </w:rPr>
        <w:t xml:space="preserve">Заказчик имеет право отклонить заявку Коллективного участника закупки, а равно не заключать Договор с Победителем закупки, а равно расторгнуть в одностороннем порядке Договор, заключённый по результатам закупки, если выяснится, что </w:t>
      </w:r>
      <w:r>
        <w:rPr>
          <w:sz w:val="24"/>
          <w:szCs w:val="24"/>
          <w:shd w:val="clear" w:color="auto" w:fill="FFFFFF"/>
        </w:rPr>
        <w:t>из состава Коллективного участника вышла одна или несколько организаций (индивидуальных предпринимателей).</w:t>
      </w:r>
    </w:p>
    <w:p>
      <w:pPr>
        <w:pStyle w:val="149"/>
        <w:widowControl w:val="0"/>
        <w:pBdr>
          <w:top w:val="none" w:color="000000" w:sz="0" w:space="0"/>
          <w:left w:val="none" w:color="000000" w:sz="0" w:space="0"/>
          <w:bottom w:val="none" w:color="000000" w:sz="0" w:space="0"/>
          <w:right w:val="none" w:color="000000" w:sz="0" w:space="0"/>
        </w:pBdr>
        <w:tabs>
          <w:tab w:val="left" w:pos="0"/>
          <w:tab w:val="left" w:pos="993"/>
          <w:tab w:val="left" w:pos="1701"/>
        </w:tabs>
        <w:suppressAutoHyphens/>
        <w:autoSpaceDE w:val="0"/>
        <w:autoSpaceDN w:val="0"/>
        <w:adjustRightInd w:val="0"/>
        <w:spacing w:before="120" w:after="120"/>
        <w:ind w:left="851" w:right="-1"/>
        <w:contextualSpacing/>
        <w:jc w:val="both"/>
        <w:rPr>
          <w:sz w:val="24"/>
          <w:szCs w:val="24"/>
          <w:highlight w:val="yellow"/>
        </w:rPr>
      </w:pPr>
    </w:p>
    <w:p>
      <w:pPr>
        <w:pStyle w:val="149"/>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right="-1"/>
        <w:contextualSpacing/>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Рассмотрение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spacing w:before="240" w:beforeLines="100"/>
        <w:ind w:left="0" w:firstLine="0"/>
        <w:jc w:val="both"/>
        <w:rPr>
          <w:rFonts w:eastAsia="Calibri"/>
          <w:color w:val="000000" w:themeColor="text1"/>
          <w:sz w:val="24"/>
          <w:szCs w:val="24"/>
          <w:lang w:eastAsia="zh-CN"/>
          <w14:textFill>
            <w14:solidFill>
              <w14:schemeClr w14:val="tx1"/>
            </w14:solidFill>
          </w14:textFill>
        </w:rPr>
      </w:pPr>
      <w:r>
        <w:rPr>
          <w:sz w:val="24"/>
          <w:szCs w:val="24"/>
        </w:rPr>
        <w:t>Поступившие от Участников предварительного отбора Заявки рассматриваются тендерной комиссией Заказчика.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Тендерная комиссия рассматривает заявки на соответствие обязательным и квалификационным требованиям, установленным Паспортом закупки о проведении отбора и проверяет соответствие участников условиям участия в отборе.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Срок рассмотрения заявок установлен заказчиком в Разделе 2 и не может превышать 30 рабочих дней с даты получения заявки на участие.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При рассмотрении заявок Тендерная комиссия может принять во внимание мнение рабочей группы, которая по поручению Тендерной комиссии может осуществлять экспертизу представленных им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В случае соответствия заявки требованиям, установленным Паспортом закупки о проведении отбора, и соответствия условиям участия в отборе Тендерная комиссия принимает решение о признании кандидата квалифицированным подрядчиком, что фиксируется в протоколе о результатах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В случае, если заявка не соответствует требованиям, установленным Паспортом закупки о проведении отбора, и (или) кандидат не соответствует условиям участия в отборе, участник, подавший такую заявку, не допускается к участию в отборе, что фиксируется в протоколе о результатах рассмотрения заявки участника.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highlight w:val="none"/>
          <w:lang w:eastAsia="zh-CN"/>
          <w14:textFill>
            <w14:solidFill>
              <w14:schemeClr w14:val="tx1"/>
            </w14:solidFill>
          </w14:textFill>
        </w:rPr>
      </w:pPr>
      <w:r>
        <w:rPr>
          <w:rFonts w:eastAsia="Arial Unicode MS"/>
          <w:sz w:val="24"/>
          <w:szCs w:val="24"/>
          <w:highlight w:val="none"/>
          <w:lang w:eastAsia="zh-CN"/>
        </w:rPr>
        <w:t xml:space="preserve">По результатам рассмотрения документов заявки </w:t>
      </w:r>
      <w:bookmarkStart w:id="5" w:name="_Toc321147650"/>
      <w:bookmarkStart w:id="6" w:name="_Toc321152245"/>
      <w:bookmarkStart w:id="7" w:name="_Toc311633099"/>
      <w:r>
        <w:rPr>
          <w:rFonts w:eastAsia="Arial Unicode MS"/>
          <w:sz w:val="24"/>
          <w:szCs w:val="24"/>
          <w:highlight w:val="none"/>
          <w:lang w:eastAsia="zh-CN"/>
        </w:rPr>
        <w:t xml:space="preserve">Заказчик вправе осуществить дополнительную проверку участников. В рамках данной проверки могут быть запрошены дополнительные документы. </w:t>
      </w:r>
      <w:bookmarkEnd w:id="5"/>
      <w:bookmarkEnd w:id="6"/>
      <w:bookmarkEnd w:id="7"/>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bookmarkStart w:id="8" w:name="_Ref55304419"/>
      <w:bookmarkStart w:id="9" w:name="_Ref55307002"/>
      <w:r>
        <w:rPr>
          <w:rFonts w:eastAsia="Calibri"/>
          <w:color w:val="000000" w:themeColor="text1"/>
          <w:sz w:val="24"/>
          <w:szCs w:val="24"/>
          <w:lang w:eastAsia="zh-CN"/>
          <w14:textFill>
            <w14:solidFill>
              <w14:schemeClr w14:val="tx1"/>
            </w14:solidFill>
          </w14:textFill>
        </w:rPr>
        <w:t>Заявка на участие в отборе может быть отклонена в следующих случаях:</w:t>
      </w:r>
      <w:bookmarkEnd w:id="8"/>
      <w:bookmarkEnd w:id="9"/>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в существенной мере не отвечает требованиям к оформлению документации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который не отвечает требованиям Паспорта закупки на проведение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содержит очевидные арифметические или грамматические ошибки;</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-заявка подана кандидатом, не предоставившим документы, требуемые документацией, либо в представленных документах имеются недостоверные сведения о кандидате.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right="-1" w:firstLine="851"/>
        <w:contextualSpacing/>
        <w:jc w:val="both"/>
        <w:rPr>
          <w:rFonts w:eastAsia="Calibri"/>
          <w:color w:val="000000" w:themeColor="text1"/>
          <w:sz w:val="24"/>
          <w:szCs w:val="24"/>
          <w14:textFill>
            <w14:solidFill>
              <w14:schemeClr w14:val="tx1"/>
            </w14:solidFill>
          </w14:textFill>
        </w:rPr>
      </w:pPr>
    </w:p>
    <w:p>
      <w:pPr>
        <w:pStyle w:val="149"/>
        <w:keepNext w:val="0"/>
        <w:keepLines w:val="0"/>
        <w:pageBreakBefore w:val="0"/>
        <w:widowControl w:val="0"/>
        <w:numPr>
          <w:ilvl w:val="1"/>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361" w:beforeLines="100" w:after="361" w:afterLines="100"/>
        <w:ind w:left="1213" w:right="0" w:hanging="363"/>
        <w:contextualSpacing/>
        <w:jc w:val="center"/>
        <w:textAlignment w:val="auto"/>
        <w:outlineLvl w:val="5"/>
        <w:rPr>
          <w:rFonts w:eastAsia="Calibri"/>
          <w:b/>
          <w:color w:val="000000" w:themeColor="text1"/>
          <w:sz w:val="24"/>
          <w:szCs w:val="24"/>
          <w:lang w:eastAsia="zh-CN"/>
          <w14:textFill>
            <w14:solidFill>
              <w14:schemeClr w14:val="tx1"/>
            </w14:solidFill>
          </w14:textFill>
        </w:rPr>
      </w:pPr>
      <w:r>
        <w:rPr>
          <w:rFonts w:hint="default" w:eastAsia="Calibri"/>
          <w:b/>
          <w:color w:val="000000" w:themeColor="text1"/>
          <w:sz w:val="24"/>
          <w:szCs w:val="24"/>
          <w:lang w:val="ru-RU" w:eastAsia="zh-CN"/>
          <w14:textFill>
            <w14:solidFill>
              <w14:schemeClr w14:val="tx1"/>
            </w14:solidFill>
          </w14:textFill>
        </w:rPr>
        <w:t xml:space="preserve"> </w:t>
      </w:r>
      <w:r>
        <w:rPr>
          <w:rFonts w:eastAsia="Calibri"/>
          <w:b/>
          <w:color w:val="000000" w:themeColor="text1"/>
          <w:sz w:val="24"/>
          <w:szCs w:val="24"/>
          <w:lang w:eastAsia="zh-CN"/>
          <w14:textFill>
            <w14:solidFill>
              <w14:schemeClr w14:val="tx1"/>
            </w14:solidFill>
          </w14:textFill>
        </w:rPr>
        <w:t>Подведение итогов оценки заявок кандидатов (участников)</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541" w:beforeLines="150"/>
        <w:ind w:left="0" w:firstLine="0"/>
        <w:contextualSpacing/>
        <w:jc w:val="both"/>
        <w:textAlignment w:val="auto"/>
        <w:rPr>
          <w:rFonts w:eastAsia="Arial Unicode MS"/>
          <w:color w:val="000000"/>
          <w:sz w:val="24"/>
          <w:szCs w:val="24"/>
          <w:lang w:eastAsia="zh-CN"/>
        </w:rPr>
      </w:pPr>
      <w:r>
        <w:rPr>
          <w:rFonts w:eastAsia="Arial Unicode MS"/>
          <w:color w:val="000000"/>
          <w:sz w:val="24"/>
          <w:szCs w:val="24"/>
          <w:lang w:eastAsia="zh-CN"/>
        </w:rPr>
        <w:t xml:space="preserve">Оценка заявки участника Отбора производится </w:t>
      </w:r>
      <w:r>
        <w:rPr>
          <w:rFonts w:eastAsia="Arial Unicode MS"/>
          <w:color w:val="000000" w:themeColor="text1"/>
          <w:sz w:val="24"/>
          <w:szCs w:val="24"/>
          <w:lang w:eastAsia="zh-CN"/>
          <w14:textFill>
            <w14:solidFill>
              <w14:schemeClr w14:val="tx1"/>
            </w14:solidFill>
          </w14:textFill>
        </w:rPr>
        <w:t xml:space="preserve">Тендерной комиссией с составлением протокола </w:t>
      </w:r>
      <w:r>
        <w:rPr>
          <w:rFonts w:eastAsia="Arial Unicode MS"/>
          <w:color w:val="000000"/>
          <w:sz w:val="24"/>
          <w:szCs w:val="24"/>
          <w:lang w:eastAsia="zh-CN"/>
        </w:rPr>
        <w:t>на основе представленных участником в составе заявки документов,</w:t>
      </w:r>
      <w:r>
        <w:rPr>
          <w:rFonts w:eastAsia="Arial Unicode MS"/>
          <w:color w:val="000000" w:themeColor="text1"/>
          <w:sz w:val="24"/>
          <w:szCs w:val="24"/>
          <w:lang w:eastAsia="zh-CN"/>
          <w14:textFill>
            <w14:solidFill>
              <w14:schemeClr w14:val="tx1"/>
            </w14:solidFill>
          </w14:textFill>
        </w:rPr>
        <w:t xml:space="preserve"> </w:t>
      </w:r>
      <w:bookmarkStart w:id="10" w:name="_Toc321147651"/>
      <w:bookmarkStart w:id="11" w:name="_Toc311633100"/>
      <w:bookmarkStart w:id="12" w:name="_Toc321152246"/>
      <w:r>
        <w:rPr>
          <w:rFonts w:eastAsia="Arial Unicode MS"/>
          <w:color w:val="000000"/>
          <w:sz w:val="24"/>
          <w:szCs w:val="24"/>
          <w:lang w:eastAsia="zh-CN"/>
        </w:rPr>
        <w:t>подтверждающих соответствие обязательным и квалификационным требованиям, установленных Паспортом</w:t>
      </w:r>
      <w:r>
        <w:rPr>
          <w:rFonts w:eastAsia="Calibri"/>
          <w:color w:val="000000" w:themeColor="text1"/>
          <w:sz w:val="24"/>
          <w:szCs w:val="24"/>
          <w:lang w:eastAsia="zh-CN"/>
          <w14:textFill>
            <w14:solidFill>
              <w14:schemeClr w14:val="tx1"/>
            </w14:solidFill>
          </w14:textFill>
        </w:rPr>
        <w:t xml:space="preserve"> закупки о проведении отбора</w:t>
      </w:r>
      <w:r>
        <w:rPr>
          <w:rFonts w:eastAsia="Arial Unicode MS"/>
          <w:color w:val="000000"/>
          <w:sz w:val="24"/>
          <w:szCs w:val="24"/>
          <w:lang w:eastAsia="zh-CN"/>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sz w:val="24"/>
          <w:szCs w:val="24"/>
          <w:lang w:eastAsia="zh-CN"/>
        </w:rPr>
      </w:pPr>
      <w:r>
        <w:rPr>
          <w:rFonts w:eastAsia="Arial Unicode MS"/>
          <w:color w:val="000000"/>
          <w:sz w:val="24"/>
          <w:szCs w:val="24"/>
          <w:lang w:eastAsia="zh-CN"/>
        </w:rPr>
        <w:t xml:space="preserve">Участники, отвечающие обязательным и квалификационным требованиям, заносятся в </w:t>
      </w:r>
      <w:r>
        <w:rPr>
          <w:rFonts w:eastAsia="Arial Unicode MS"/>
          <w:sz w:val="24"/>
          <w:szCs w:val="24"/>
          <w:lang w:eastAsia="zh-CN"/>
        </w:rPr>
        <w:t>Реестр квалифицированных подрядных организаций.</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Заказчик в течение 3 (трех) дней после подписания протокола размещает на сайте Фонда протокол заседания Тендерной комиссии, который должен </w:t>
      </w:r>
      <w:r>
        <w:rPr>
          <w:rFonts w:eastAsia="Arial Unicode MS"/>
          <w:color w:val="000000" w:themeColor="text1"/>
          <w:sz w:val="24"/>
          <w:szCs w:val="24"/>
          <w:lang w:eastAsia="zh-CN"/>
          <w14:textFill>
            <w14:solidFill>
              <w14:schemeClr w14:val="tx1"/>
            </w14:solidFill>
          </w14:textFill>
        </w:rPr>
        <w:t xml:space="preserve">содержать наименование, ИНН участника, подавшего заявку, результаты рассмотрения и принятия решения о включении Участника в Реестр </w:t>
      </w:r>
      <w:r>
        <w:rPr>
          <w:rFonts w:eastAsia="Arial Unicode MS"/>
          <w:sz w:val="24"/>
          <w:szCs w:val="24"/>
          <w:lang w:eastAsia="zh-CN"/>
        </w:rPr>
        <w:t>квалифицированных подрядных организаций</w:t>
      </w:r>
      <w:r>
        <w:rPr>
          <w:rFonts w:eastAsia="Arial Unicode MS"/>
          <w:color w:val="000000" w:themeColor="text1"/>
          <w:sz w:val="24"/>
          <w:szCs w:val="24"/>
          <w:lang w:eastAsia="zh-CN"/>
          <w14:textFill>
            <w14:solidFill>
              <w14:schemeClr w14:val="tx1"/>
            </w14:solidFill>
          </w14:textFill>
        </w:rPr>
        <w:t>.</w:t>
      </w:r>
    </w:p>
    <w:bookmarkEnd w:id="10"/>
    <w:bookmarkEnd w:id="11"/>
    <w:bookmarkEnd w:id="12"/>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Реестр </w:t>
      </w:r>
      <w:r>
        <w:rPr>
          <w:rFonts w:eastAsia="Arial Unicode MS"/>
          <w:sz w:val="24"/>
          <w:szCs w:val="24"/>
          <w:lang w:eastAsia="zh-CN"/>
        </w:rPr>
        <w:t>квалифицированных подрядных организаций</w:t>
      </w:r>
      <w:r>
        <w:rPr>
          <w:rFonts w:eastAsia="Calibri"/>
          <w:color w:val="000000" w:themeColor="text1"/>
          <w:sz w:val="24"/>
          <w:szCs w:val="24"/>
          <w:lang w:eastAsia="zh-CN"/>
          <w14:textFill>
            <w14:solidFill>
              <w14:schemeClr w14:val="tx1"/>
            </w14:solidFill>
          </w14:textFill>
        </w:rPr>
        <w:t xml:space="preserve"> публикуется на сайте Фонда.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Результаты предварительного квалификационного отбора могут быть аннулированы в случае:</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обнаружения фактов несоответствия участника отбора требованиям, предусмотренным Паспортом закупки;</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отказа от заключения договора по результатам конкурентных процедур или требования по пересмотру условий поданного технико-коммерческого предложения;</w:t>
      </w:r>
    </w:p>
    <w:p>
      <w:pPr>
        <w:widowControl w:val="0"/>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ind w:right="-1"/>
        <w:jc w:val="both"/>
        <w:rPr>
          <w:rFonts w:eastAsia="Calibri"/>
          <w:color w:val="000000" w:themeColor="text1"/>
          <w:sz w:val="24"/>
          <w:szCs w:val="24"/>
          <w14:textFill>
            <w14:solidFill>
              <w14:schemeClr w14:val="tx1"/>
            </w14:solidFill>
          </w14:textFill>
        </w:rPr>
      </w:pPr>
      <w:r>
        <w:rPr>
          <w:sz w:val="24"/>
          <w:szCs w:val="24"/>
        </w:rPr>
        <w:t>отрицательного опыта работы / поставок, осуществленных участником Реестра по договорам с Фондом.</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left="0" w:right="-1" w:firstLine="0"/>
        <w:jc w:val="both"/>
        <w:rPr>
          <w:rFonts w:eastAsia="Calibri"/>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 случае внесения изменений в документы и сведения, предоставляемые о себе квалифицированным участником такой участник обязан незамедлительно направить Заказчику новые документы и сведения, уведомление о прекращении действия указанных документов.</w:t>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ab/>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p>
    <w:p>
      <w:pPr>
        <w:pStyle w:val="149"/>
        <w:numPr>
          <w:ilvl w:val="1"/>
          <w:numId w:val="10"/>
        </w:numPr>
        <w:pBdr>
          <w:top w:val="none" w:color="000000" w:sz="0" w:space="0"/>
          <w:left w:val="none" w:color="000000" w:sz="0" w:space="0"/>
          <w:bottom w:val="none" w:color="000000" w:sz="0" w:space="0"/>
          <w:right w:val="none" w:color="000000" w:sz="0" w:space="0"/>
        </w:pBdr>
        <w:suppressAutoHyphens/>
        <w:ind w:left="0" w:firstLine="0"/>
        <w:contextualSpacing/>
        <w:jc w:val="center"/>
        <w:rPr>
          <w:rFonts w:eastAsia="Arial Unicode MS"/>
          <w:b/>
          <w:sz w:val="24"/>
          <w:szCs w:val="24"/>
          <w:lang w:eastAsia="zh-CN"/>
        </w:rPr>
      </w:pPr>
      <w:r>
        <w:rPr>
          <w:rFonts w:eastAsia="Arial Unicode MS"/>
          <w:b/>
          <w:sz w:val="24"/>
          <w:szCs w:val="24"/>
          <w:lang w:eastAsia="zh-CN"/>
        </w:rPr>
        <w:t>Дополнительные сведения об отборе</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Предварительный квалификационный отбор не является процедурой закупки и не налагает на Заказчика обязанностей по заключению договора по результатам отбора.</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Заказчик вправе признать Реестр, сформированный по результатам проведения отбора, утратившим свою силу в любое время до окончания срока его действия, предусмотренного пунктом 2.4 раздела 2.</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highlight w:val="none"/>
          <w:lang w:eastAsia="zh-CN"/>
        </w:rPr>
      </w:pPr>
      <w:r>
        <w:rPr>
          <w:rFonts w:eastAsia="Arial Unicode MS"/>
          <w:sz w:val="24"/>
          <w:szCs w:val="24"/>
          <w:highlight w:val="none"/>
          <w:lang w:val="ru-RU" w:eastAsia="zh-CN"/>
        </w:rPr>
        <w:t>Заказчик</w:t>
      </w:r>
      <w:r>
        <w:rPr>
          <w:rFonts w:hint="default" w:eastAsia="Arial Unicode MS"/>
          <w:sz w:val="24"/>
          <w:szCs w:val="24"/>
          <w:highlight w:val="none"/>
          <w:lang w:val="ru-RU" w:eastAsia="zh-CN"/>
        </w:rPr>
        <w:t xml:space="preserve"> вправе провести дополнительные предварительные квалификационные отборы с целью включения в Реестр участников таких предварительных квалификационных отборов по которым принято решение Тендерной комиссией о признании их квалифицированными подрядчиками.</w:t>
      </w: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color w:val="000000" w:themeColor="text1"/>
          <w:sz w:val="24"/>
          <w:szCs w:val="24"/>
          <w:highlight w:val="cyan"/>
          <w:lang w:eastAsia="zh-CN"/>
          <w14:textFill>
            <w14:solidFill>
              <w14:schemeClr w14:val="tx1"/>
            </w14:solidFill>
          </w14:textFill>
        </w:rPr>
        <w:br w:type="page"/>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r>
        <w:rPr>
          <w:rFonts w:eastAsia="Arial Unicode MS"/>
          <w:b/>
          <w:caps/>
          <w:color w:val="000000" w:themeColor="text1"/>
          <w:sz w:val="24"/>
          <w:szCs w:val="24"/>
          <w:lang w:eastAsia="zh-CN"/>
          <w14:textFill>
            <w14:solidFill>
              <w14:schemeClr w14:val="tx1"/>
            </w14:solidFill>
          </w14:textFill>
        </w:rPr>
        <w:t>РАЗДЕЛ 4. Документы и формы, входящие в состав заявки</w:t>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 xml:space="preserve">4.1. </w:t>
      </w:r>
      <w:r>
        <w:rPr>
          <w:rFonts w:eastAsia="Arial Unicode MS"/>
          <w:color w:val="000000" w:themeColor="text1"/>
          <w:sz w:val="24"/>
          <w:szCs w:val="24"/>
          <w:lang w:eastAsia="zh-CN"/>
          <w14:textFill>
            <w14:solidFill>
              <w14:schemeClr w14:val="tx1"/>
            </w14:solidFill>
          </w14:textFill>
        </w:rPr>
        <w:t>Заявка, подготовленная участником, должна содержать следующие документы и формы:</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1. Опись документов, входящих в состав заявки (</w:t>
      </w:r>
      <w:r>
        <w:rPr>
          <w:rFonts w:eastAsia="Arial Unicode MS"/>
          <w:b w:val="0"/>
          <w:bCs/>
          <w:color w:val="000000" w:themeColor="text1"/>
          <w:sz w:val="24"/>
          <w:szCs w:val="24"/>
          <w:lang w:val="ru-RU" w:eastAsia="zh-CN"/>
          <w14:textFill>
            <w14:solidFill>
              <w14:schemeClr w14:val="tx1"/>
            </w14:solidFill>
          </w14:textFill>
        </w:rPr>
        <w:t>п</w:t>
      </w:r>
      <w:r>
        <w:rPr>
          <w:rFonts w:hint="default" w:eastAsia="Arial Unicode MS"/>
          <w:b w:val="0"/>
          <w:bCs/>
          <w:color w:val="000000" w:themeColor="text1"/>
          <w:sz w:val="24"/>
          <w:szCs w:val="24"/>
          <w:lang w:val="ru-RU" w:eastAsia="zh-CN"/>
          <w14:textFill>
            <w14:solidFill>
              <w14:schemeClr w14:val="tx1"/>
            </w14:solidFill>
          </w14:textFill>
        </w:rPr>
        <w:t xml:space="preserve">.7.1 </w:t>
      </w:r>
      <w:r>
        <w:rPr>
          <w:rFonts w:eastAsia="Arial Unicode MS"/>
          <w:b w:val="0"/>
          <w:bCs/>
          <w:color w:val="000000" w:themeColor="text1"/>
          <w:sz w:val="24"/>
          <w:szCs w:val="24"/>
          <w:lang w:eastAsia="zh-CN"/>
          <w14:textFill>
            <w14:solidFill>
              <w14:schemeClr w14:val="tx1"/>
            </w14:solidFill>
          </w14:textFill>
        </w:rPr>
        <w:t>раздел</w:t>
      </w:r>
      <w:r>
        <w:rPr>
          <w:rFonts w:eastAsia="Arial Unicode MS"/>
          <w:b w:val="0"/>
          <w:bCs/>
          <w:color w:val="000000" w:themeColor="text1"/>
          <w:sz w:val="24"/>
          <w:szCs w:val="24"/>
          <w:lang w:val="ru-RU" w:eastAsia="zh-CN"/>
          <w14:textFill>
            <w14:solidFill>
              <w14:schemeClr w14:val="tx1"/>
            </w14:solidFill>
          </w14:textFill>
        </w:rPr>
        <w:t>а</w:t>
      </w:r>
      <w:r>
        <w:rPr>
          <w:rFonts w:eastAsia="Arial Unicode MS"/>
          <w:b w:val="0"/>
          <w:bCs/>
          <w:color w:val="000000" w:themeColor="text1"/>
          <w:sz w:val="24"/>
          <w:szCs w:val="24"/>
          <w:lang w:eastAsia="zh-CN"/>
          <w14:textFill>
            <w14:solidFill>
              <w14:schemeClr w14:val="tx1"/>
            </w14:solidFill>
          </w14:textFill>
        </w:rPr>
        <w:t xml:space="preserve"> 7</w:t>
      </w:r>
      <w:r>
        <w:rPr>
          <w:rFonts w:hint="default" w:eastAsia="Arial Unicode MS"/>
          <w:b w:val="0"/>
          <w:bCs/>
          <w:color w:val="000000" w:themeColor="text1"/>
          <w:sz w:val="24"/>
          <w:szCs w:val="24"/>
          <w:lang w:val="ru-RU" w:eastAsia="zh-CN"/>
          <w14:textFill>
            <w14:solidFill>
              <w14:schemeClr w14:val="tx1"/>
            </w14:solidFill>
          </w14:textFill>
        </w:rPr>
        <w:t xml:space="preserve"> настоящего </w:t>
      </w:r>
      <w:r>
        <w:rPr>
          <w:rFonts w:hint="default" w:eastAsia="Arial Unicode MS"/>
          <w:color w:val="000000" w:themeColor="text1"/>
          <w:sz w:val="24"/>
          <w:szCs w:val="24"/>
          <w:lang w:val="ru-RU" w:eastAsia="zh-CN"/>
          <w14:textFill>
            <w14:solidFill>
              <w14:schemeClr w14:val="tx1"/>
            </w14:solidFill>
          </w14:textFill>
        </w:rPr>
        <w:t>Паспорта закупки</w:t>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2. Документ, подтверждающий правовой статус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полученная не ранее чем за 30 (тридцать) календарных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электронная копия выписки из единого государственного реестра юридических лиц или выписки из единого государственного реестра индивидуальных предпринимателей (для индивидуальных предпринимателей);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xml:space="preserve">б) электронная копия надлежащим образом заверенного </w:t>
      </w:r>
      <w:r>
        <w:rPr>
          <w:rFonts w:eastAsia="Arial Unicode MS"/>
          <w:color w:val="000000" w:themeColor="text1"/>
          <w:sz w:val="24"/>
          <w:szCs w:val="24"/>
          <w:u w:val="single"/>
          <w:lang w:eastAsia="zh-CN"/>
          <w14:textFill>
            <w14:solidFill>
              <w14:schemeClr w14:val="tx1"/>
            </w14:solidFill>
          </w14:textFill>
        </w:rPr>
        <w:t>перевода</w:t>
      </w:r>
      <w:r>
        <w:rPr>
          <w:rFonts w:eastAsia="Arial Unicode MS"/>
          <w:color w:val="000000" w:themeColor="text1"/>
          <w:sz w:val="24"/>
          <w:szCs w:val="24"/>
          <w:lang w:eastAsia="zh-CN"/>
          <w14:textFill>
            <w14:solidFill>
              <w14:schemeClr w14:val="tx1"/>
            </w14:solidFill>
          </w14:textFill>
        </w:rPr>
        <w:t xml:space="preserve">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полученного не ранее чем за 90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(при необходимости)</w:t>
      </w:r>
    </w:p>
    <w:p>
      <w:pPr>
        <w:ind w:right="-1" w:firstLine="709"/>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Непредставление или предоставление не в полном объеме участником отбора документов, предусмотренных пунктом 2а выписок ЕГРЮЛ/ЕГРИП, полученных ранее 30 (тридцати) дней до даты размещения на ЭТП извещения о проведении предварительного квалификационного отбора</w:t>
      </w:r>
      <w:r>
        <w:rPr>
          <w:rFonts w:eastAsia="Arial Unicode MS"/>
          <w:sz w:val="24"/>
          <w:szCs w:val="24"/>
          <w:u w:val="single"/>
          <w:lang w:eastAsia="zh-CN"/>
        </w:rPr>
        <w:t>, не является основанием для отказа участнику в допуске к участию в отборе</w:t>
      </w:r>
      <w:r>
        <w:rPr>
          <w:rFonts w:eastAsia="Arial Unicode MS"/>
          <w:sz w:val="24"/>
          <w:szCs w:val="24"/>
          <w:lang w:eastAsia="zh-CN"/>
        </w:rPr>
        <w:t xml:space="preserve">, при условии наличия указанной информации на сайте Федеральной налоговой службы </w:t>
      </w:r>
      <w:r>
        <w:fldChar w:fldCharType="begin"/>
      </w:r>
      <w:r>
        <w:instrText xml:space="preserve"> HYPERLINK "https://www.nalog.ru/" </w:instrText>
      </w:r>
      <w:r>
        <w:fldChar w:fldCharType="separate"/>
      </w:r>
      <w:r>
        <w:rPr>
          <w:rFonts w:eastAsia="Arial Unicode MS"/>
          <w:color w:val="0000FF"/>
          <w:sz w:val="24"/>
          <w:szCs w:val="24"/>
          <w:u w:val="single"/>
          <w:lang w:val="en-US" w:eastAsia="zh-CN"/>
        </w:rPr>
        <w:t>https</w:t>
      </w:r>
      <w:r>
        <w:rPr>
          <w:rFonts w:eastAsia="Arial Unicode MS"/>
          <w:color w:val="0000FF"/>
          <w:sz w:val="24"/>
          <w:szCs w:val="24"/>
          <w:u w:val="single"/>
          <w:lang w:eastAsia="zh-CN"/>
        </w:rPr>
        <w:t>://</w:t>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nalog</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sz w:val="24"/>
          <w:szCs w:val="24"/>
          <w:lang w:eastAsia="zh-CN"/>
        </w:rPr>
        <w:t xml:space="preserve"> и/или в информационном ресурсе СПАРК </w:t>
      </w:r>
      <w:r>
        <w:fldChar w:fldCharType="begin"/>
      </w:r>
      <w:r>
        <w:instrText xml:space="preserve"> HYPERLINK "http://www.spark-interfax.ru" </w:instrText>
      </w:r>
      <w:r>
        <w:fldChar w:fldCharType="separate"/>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spark</w:t>
      </w:r>
      <w:r>
        <w:rPr>
          <w:rFonts w:eastAsia="Arial Unicode MS"/>
          <w:color w:val="0000FF"/>
          <w:sz w:val="24"/>
          <w:szCs w:val="24"/>
          <w:u w:val="single"/>
          <w:lang w:eastAsia="zh-CN"/>
        </w:rPr>
        <w:t>-</w:t>
      </w:r>
      <w:r>
        <w:rPr>
          <w:rFonts w:eastAsia="Arial Unicode MS"/>
          <w:color w:val="0000FF"/>
          <w:sz w:val="24"/>
          <w:szCs w:val="24"/>
          <w:u w:val="single"/>
          <w:lang w:val="en-US" w:eastAsia="zh-CN"/>
        </w:rPr>
        <w:t>interfax</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3. Документы, подтверждающие полномочия лица на осуществление действий от имени участника при проведении пред</w:t>
      </w:r>
      <w:r>
        <w:rPr>
          <w:rFonts w:eastAsia="Arial Unicode MS"/>
          <w:b w:val="0"/>
          <w:bCs/>
          <w:color w:val="000000" w:themeColor="text1"/>
          <w:sz w:val="24"/>
          <w:szCs w:val="24"/>
          <w:lang w:val="ru-RU" w:eastAsia="zh-CN"/>
          <w14:textFill>
            <w14:solidFill>
              <w14:schemeClr w14:val="tx1"/>
            </w14:solidFill>
          </w14:textFill>
        </w:rPr>
        <w:t>варительного</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квалификационного отбора: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сканированная копия решения уполномоченного органа участника, определенного учредительными документами участника, соответствующего требованиям законодательства Российской Федерации, об избрании (назначении) на должность руководителя участника (копия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б) сканированные копии уставных документов участника, а именно:</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устав участника в последней редакции со всеми изменениями, прошедшими государственную регистрацию (в соответствии со статьей 52 ГК РФ);</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в) полномочия руководителя участника считаются подтвержденными только при наличии следующих условий: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все документы для подтверждения полномочий руководителя участника представлены в полном объеме и оформлены в соответствии с требованиями законодательства Российской Федерации и настоящей документацией;</w:t>
      </w:r>
    </w:p>
    <w:p>
      <w:pPr>
        <w:pBdr>
          <w:top w:val="none" w:color="000000" w:sz="0" w:space="0"/>
          <w:left w:val="none" w:color="000000" w:sz="0" w:space="0"/>
          <w:bottom w:val="none" w:color="000000" w:sz="0" w:space="0"/>
          <w:right w:val="none" w:color="000000" w:sz="0" w:space="0"/>
        </w:pBdr>
        <w:suppressAutoHyphens/>
        <w:ind w:right="-1" w:firstLine="708"/>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сведения о фамилии, имени, отчестве, должности руководителя участника, подписавшего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полностью совпадают в выписке из государственного реестра юридических лиц и копии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подписавший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избран (назначен) уполномоченным органом управления участника в соответствии с учредительными документами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в соответствии с учредительными документами и документом об избрании (назначении) руководителя участника имел полномочия подписывать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(срок полномочий руководителя участника не истек).</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г) в случае, если документы заявки на участие в отборе подписаны лицом, отличным от лица, указанного в разделе «Сведения о лице, имеющем право без доверенности действовать от имени юридического лица» выписки ЕГРЮЛ, заявка на участие в отборе должна содержать также доверенность,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4. Форма «Заявка на участие в пред</w:t>
      </w:r>
      <w:r>
        <w:rPr>
          <w:rFonts w:eastAsia="Arial Unicode MS"/>
          <w:b w:val="0"/>
          <w:bCs/>
          <w:color w:val="000000" w:themeColor="text1"/>
          <w:sz w:val="24"/>
          <w:szCs w:val="24"/>
          <w:lang w:val="ru-RU" w:eastAsia="zh-CN"/>
          <w14:textFill>
            <w14:solidFill>
              <w14:schemeClr w14:val="tx1"/>
            </w14:solidFill>
          </w14:textFill>
        </w:rPr>
        <w:t>варительном</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 xml:space="preserve">квалификационном отборе», в </w:t>
      </w:r>
      <w:r>
        <w:rPr>
          <w:rFonts w:eastAsia="Arial Unicode MS"/>
          <w:color w:val="000000" w:themeColor="text1"/>
          <w:sz w:val="24"/>
          <w:szCs w:val="24"/>
          <w:lang w:eastAsia="zh-CN"/>
          <w14:textFill>
            <w14:solidFill>
              <w14:schemeClr w14:val="tx1"/>
            </w14:solidFill>
          </w14:textFill>
        </w:rPr>
        <w:t>которой указываются сведения об участнике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включая фирменное наименование, сведения об организационно-правовой форме, о месте нахождения, почтовый адрес (для юридического лица), ИНН, фамилия, имя, отчество, паспортные данные, сведения о месте жительства (для физического лица), номер контактного телефона (</w:t>
      </w:r>
      <w:r>
        <w:rPr>
          <w:rFonts w:eastAsia="Arial Unicode MS"/>
          <w:color w:val="000000" w:themeColor="text1"/>
          <w:sz w:val="24"/>
          <w:szCs w:val="24"/>
          <w:lang w:val="ru-RU" w:eastAsia="zh-CN"/>
          <w14:textFill>
            <w14:solidFill>
              <w14:schemeClr w14:val="tx1"/>
            </w14:solidFill>
          </w14:textFill>
        </w:rPr>
        <w:t>п</w:t>
      </w:r>
      <w:r>
        <w:rPr>
          <w:rFonts w:hint="default" w:eastAsia="Arial Unicode MS"/>
          <w:color w:val="000000" w:themeColor="text1"/>
          <w:sz w:val="24"/>
          <w:szCs w:val="24"/>
          <w:lang w:val="ru-RU" w:eastAsia="zh-CN"/>
          <w14:textFill>
            <w14:solidFill>
              <w14:schemeClr w14:val="tx1"/>
            </w14:solidFill>
          </w14:textFill>
        </w:rPr>
        <w:t>. 7.2 раздела 7 настоящего Паспорта закупки</w:t>
      </w:r>
      <w:r>
        <w:rPr>
          <w:rFonts w:eastAsia="Arial Unicode MS"/>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firstLine="799" w:firstLineChars="333"/>
        <w:jc w:val="both"/>
        <w:textAlignment w:val="auto"/>
        <w:rPr>
          <w:b w:val="0"/>
          <w:bCs/>
          <w:i/>
          <w:sz w:val="24"/>
          <w:szCs w:val="24"/>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5. Д</w:t>
      </w:r>
      <w:r>
        <w:rPr>
          <w:b w:val="0"/>
          <w:bCs/>
          <w:sz w:val="24"/>
          <w:szCs w:val="24"/>
        </w:rPr>
        <w:t xml:space="preserve">окументы, подтверждающие соответствие участника Отбора установленным требованиям в соответствии с действующим законодательством Российской Федерации, или копии этих документов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 xml:space="preserve">6. Документы, подтверждающие квалификацию участника в качестве квалифицированной подрядной организации согласно предмету, проводимого предварительного квалификационного отбора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7.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keepNext w:val="0"/>
        <w:keepLines w:val="0"/>
        <w:pageBreakBefore w:val="0"/>
        <w:widowControl/>
        <w:kinsoku/>
        <w:wordWrap/>
        <w:overflowPunct/>
        <w:topLinePunct w:val="0"/>
        <w:bidi w:val="0"/>
        <w:snapToGrid/>
        <w:spacing w:line="240" w:lineRule="auto"/>
        <w:ind w:left="0" w:leftChars="0" w:firstLine="799" w:firstLineChars="333"/>
        <w:jc w:val="both"/>
        <w:textAlignment w:val="auto"/>
        <w:rPr>
          <w:rFonts w:eastAsia="Calibri"/>
          <w:b w:val="0"/>
          <w:bCs/>
          <w:sz w:val="24"/>
          <w:szCs w:val="24"/>
        </w:rPr>
      </w:pPr>
      <w:r>
        <w:rPr>
          <w:rFonts w:hint="default" w:eastAsia="Arial Unicode MS"/>
          <w:b w:val="0"/>
          <w:bCs/>
          <w:sz w:val="24"/>
          <w:szCs w:val="24"/>
          <w:lang w:val="ru-RU" w:eastAsia="zh-CN"/>
        </w:rPr>
        <w:t>4.1.</w:t>
      </w:r>
      <w:r>
        <w:rPr>
          <w:rFonts w:eastAsia="Arial Unicode MS"/>
          <w:b w:val="0"/>
          <w:bCs/>
          <w:sz w:val="24"/>
          <w:szCs w:val="24"/>
          <w:lang w:eastAsia="zh-CN"/>
        </w:rPr>
        <w:t xml:space="preserve">8. </w:t>
      </w:r>
      <w:r>
        <w:rPr>
          <w:rFonts w:eastAsia="Calibri"/>
          <w:b w:val="0"/>
          <w:bCs/>
          <w:sz w:val="24"/>
          <w:szCs w:val="24"/>
        </w:rPr>
        <w:t>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w:t>
      </w:r>
      <w:r>
        <w:rPr>
          <w:rFonts w:eastAsia="Arial Unicode MS"/>
          <w:color w:val="000000" w:themeColor="text1"/>
          <w:sz w:val="24"/>
          <w:szCs w:val="24"/>
          <w:lang w:eastAsia="zh-CN"/>
          <w14:textFill>
            <w14:solidFill>
              <w14:schemeClr w14:val="tx1"/>
            </w14:solidFill>
          </w14:textFill>
        </w:rPr>
        <w:t>9.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4.1.10. В случае подачи заявки коллективным участником, предоставляется следующий пакет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1) копия соглашения, соответствующего требованиям пункта 3.4.7. Паспорта закупки  (далее – Соглашение);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2) Форма «Заявка на участие в предварительном квалификационном отборе» (п. 7.2 раздела 7 настоящего Паспорта закупки),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3.4.7 настоящего Паспорта закупки.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Паспортом закупки о проведении предварительного квалификационного отбора предоставляется по каждому члену коллективного участника отдельно;</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3) документы, предусмотренные пунктами 4.1.2, 4.1.3, 4.1.8 настоящего Паспорта закупки - каждым членом коллективного участника.</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sectPr>
          <w:footerReference r:id="rId7" w:type="default"/>
          <w:pgSz w:w="11906" w:h="16838"/>
          <w:pgMar w:top="1134" w:right="707" w:bottom="1276" w:left="1276" w:header="425" w:footer="300" w:gutter="0"/>
          <w:pgNumType w:fmt="decimal" w:start="2"/>
          <w:cols w:space="0" w:num="1"/>
          <w:rtlGutter w:val="0"/>
          <w:docGrid w:linePitch="360" w:charSpace="0"/>
        </w:sectPr>
      </w:pPr>
    </w:p>
    <w:p>
      <w:pPr>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2127"/>
          <w:tab w:val="left" w:pos="4020"/>
        </w:tabs>
        <w:suppressAutoHyphens/>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РАЗДЕЛ 5. КВАЛИФИКАЦИОННЫЕ ТРЕБОВАНИЯ (ПОКАЗАТЕЛИ), ПОДТВЕРЖДАЮЩИЕ КВАЛИФИКАЦИЮ УЧАСТНИКА В КАЧЕСТВЕ КВАЛИФИЦИРОВАННОЙ ПОДРЯДНОЙ ОРГАНИЗАЦИИ </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rFonts w:eastAsia="Arial Unicode MS"/>
          <w:color w:val="000000"/>
          <w:sz w:val="22"/>
          <w:szCs w:val="22"/>
          <w:lang w:eastAsia="zh-CN"/>
        </w:rPr>
        <w:t>5.1. Рассмотрение заявки участника Отбора производится Тендерной комиссией на основе представленных участником документов</w:t>
      </w:r>
      <w:bookmarkStart w:id="13" w:name="Par1036"/>
      <w:bookmarkEnd w:id="13"/>
      <w:r>
        <w:rPr>
          <w:rFonts w:eastAsia="Arial Unicode MS"/>
          <w:color w:val="000000"/>
          <w:sz w:val="22"/>
          <w:szCs w:val="22"/>
          <w:lang w:eastAsia="zh-CN"/>
        </w:rPr>
        <w:t xml:space="preserve">, подтверждающих соответствие квалификационным требованиям, согласно установленных Заказчиком показателей Отбора. </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sz w:val="22"/>
          <w:szCs w:val="22"/>
        </w:rPr>
        <w:t>5.2. Кандидат на участие в Отборе (Участник), не соответствующий установленным Заказчиком квалификационным требованиям (показателям Отбора) рассматривается как неквалифицированный поставщик (подрядчик, исполнитель).</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r>
        <w:rPr>
          <w:rFonts w:eastAsia="Arial Unicode MS"/>
          <w:b/>
          <w:color w:val="000000"/>
          <w:sz w:val="22"/>
          <w:szCs w:val="22"/>
          <w:lang w:eastAsia="zh-CN"/>
        </w:rPr>
        <w:t>5.3Обязательные требования:</w:t>
      </w:r>
    </w:p>
    <w:tbl>
      <w:tblPr>
        <w:tblStyle w:val="12"/>
        <w:tblW w:w="15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47"/>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tcPr>
          <w:p>
            <w:pPr>
              <w:jc w:val="center"/>
              <w:rPr>
                <w:b/>
                <w:sz w:val="24"/>
                <w:szCs w:val="24"/>
              </w:rPr>
            </w:pPr>
            <w:r>
              <w:rPr>
                <w:b/>
                <w:sz w:val="24"/>
                <w:szCs w:val="24"/>
              </w:rPr>
              <w:t>№ п/п</w:t>
            </w:r>
          </w:p>
        </w:tc>
        <w:tc>
          <w:tcPr>
            <w:tcW w:w="6447" w:type="dxa"/>
          </w:tcPr>
          <w:p>
            <w:pPr>
              <w:jc w:val="center"/>
              <w:rPr>
                <w:b/>
                <w:sz w:val="24"/>
                <w:szCs w:val="24"/>
              </w:rPr>
            </w:pPr>
            <w:r>
              <w:rPr>
                <w:b/>
                <w:sz w:val="24"/>
                <w:szCs w:val="24"/>
              </w:rPr>
              <w:t>Требования к Участникам</w:t>
            </w:r>
          </w:p>
        </w:tc>
        <w:tc>
          <w:tcPr>
            <w:tcW w:w="7577"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4" w:name="_Ref513735397"/>
            <w:r>
              <w:rPr>
                <w:sz w:val="24"/>
                <w:szCs w:val="24"/>
              </w:rPr>
              <w:t>5.3.1</w:t>
            </w:r>
          </w:p>
          <w:bookmarkEnd w:id="14"/>
        </w:tc>
        <w:tc>
          <w:tcPr>
            <w:tcW w:w="6447" w:type="dxa"/>
          </w:tcPr>
          <w:p>
            <w:pPr>
              <w:rPr>
                <w:sz w:val="24"/>
                <w:szCs w:val="24"/>
              </w:rPr>
            </w:pPr>
            <w:r>
              <w:rPr>
                <w:sz w:val="24"/>
                <w:szCs w:val="24"/>
              </w:rPr>
              <w:t>Участник отбора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577" w:type="dxa"/>
          </w:tcPr>
          <w:p>
            <w:pPr>
              <w:numPr>
                <w:ilvl w:val="0"/>
                <w:numId w:val="12"/>
              </w:numPr>
              <w:tabs>
                <w:tab w:val="left" w:pos="260"/>
                <w:tab w:val="left" w:pos="1134"/>
              </w:tabs>
              <w:ind w:left="0" w:firstLine="0"/>
              <w:rPr>
                <w:sz w:val="24"/>
                <w:szCs w:val="24"/>
              </w:rPr>
            </w:pPr>
            <w:bookmarkStart w:id="15" w:name="_Ref513814605"/>
            <w:r>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5"/>
          </w:p>
          <w:p>
            <w:pPr>
              <w:numPr>
                <w:ilvl w:val="0"/>
                <w:numId w:val="12"/>
              </w:numPr>
              <w:tabs>
                <w:tab w:val="left" w:pos="260"/>
                <w:tab w:val="left" w:pos="1134"/>
              </w:tabs>
              <w:ind w:left="0" w:firstLine="0"/>
              <w:rPr>
                <w:sz w:val="24"/>
                <w:szCs w:val="24"/>
              </w:rPr>
            </w:pPr>
            <w:bookmarkStart w:id="16" w:name="_Ref513814637"/>
            <w:r>
              <w:rPr>
                <w:sz w:val="24"/>
                <w:szCs w:val="24"/>
              </w:rPr>
              <w:t>Копия Устава в действующей редакции;</w:t>
            </w:r>
            <w:bookmarkEnd w:id="16"/>
            <w:r>
              <w:rPr>
                <w:sz w:val="24"/>
                <w:szCs w:val="24"/>
              </w:rPr>
              <w:t xml:space="preserve"> </w:t>
            </w:r>
          </w:p>
          <w:p>
            <w:pPr>
              <w:numPr>
                <w:ilvl w:val="0"/>
                <w:numId w:val="12"/>
              </w:numPr>
              <w:tabs>
                <w:tab w:val="left" w:pos="260"/>
                <w:tab w:val="left" w:pos="1134"/>
              </w:tabs>
              <w:ind w:left="0" w:firstLine="0"/>
              <w:rPr>
                <w:sz w:val="24"/>
                <w:szCs w:val="24"/>
              </w:rPr>
            </w:pPr>
            <w:bookmarkStart w:id="17" w:name="_Ref513735341"/>
            <w:r>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7"/>
          </w:p>
          <w:p>
            <w:pPr>
              <w:numPr>
                <w:ilvl w:val="0"/>
                <w:numId w:val="12"/>
              </w:numPr>
              <w:tabs>
                <w:tab w:val="left" w:pos="260"/>
                <w:tab w:val="left" w:pos="1134"/>
              </w:tabs>
              <w:ind w:left="0" w:firstLine="0"/>
              <w:rPr>
                <w:sz w:val="24"/>
                <w:szCs w:val="24"/>
              </w:rPr>
            </w:pPr>
            <w:bookmarkStart w:id="18" w:name="_Ref513814652"/>
            <w:r>
              <w:rPr>
                <w:sz w:val="24"/>
                <w:szCs w:val="24"/>
              </w:rPr>
              <w:t>Если заявка подписывается лицом, действующим на основании доверенности</w:t>
            </w:r>
            <w:r>
              <w:rPr>
                <w:rStyle w:val="14"/>
                <w:sz w:val="24"/>
                <w:szCs w:val="24"/>
              </w:rPr>
              <w:footnoteReference w:id="0"/>
            </w:r>
            <w:r>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Pr>
                <w:sz w:val="24"/>
                <w:szCs w:val="24"/>
              </w:rPr>
              <w:fldChar w:fldCharType="begin"/>
            </w:r>
            <w:r>
              <w:rPr>
                <w:sz w:val="24"/>
                <w:szCs w:val="24"/>
              </w:rPr>
              <w:instrText xml:space="preserve"> REF _Ref513735341 \n \h  \* MERGEFORMAT </w:instrText>
            </w:r>
            <w:r>
              <w:rPr>
                <w:sz w:val="24"/>
                <w:szCs w:val="24"/>
              </w:rPr>
              <w:fldChar w:fldCharType="separate"/>
            </w:r>
            <w:r>
              <w:rPr>
                <w:sz w:val="24"/>
                <w:szCs w:val="24"/>
              </w:rPr>
              <w:t>в)</w:t>
            </w:r>
            <w:r>
              <w:rPr>
                <w:sz w:val="24"/>
                <w:szCs w:val="24"/>
              </w:rPr>
              <w:fldChar w:fldCharType="end"/>
            </w:r>
            <w:r>
              <w:rPr>
                <w:sz w:val="24"/>
                <w:szCs w:val="24"/>
              </w:rPr>
              <w:t>, на лицо, выдавшее доверенность</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9" w:name="_Ref514624336"/>
            <w:r>
              <w:rPr>
                <w:sz w:val="24"/>
                <w:szCs w:val="24"/>
              </w:rPr>
              <w:t>5.3.2</w:t>
            </w:r>
          </w:p>
          <w:bookmarkEnd w:id="19"/>
        </w:tc>
        <w:tc>
          <w:tcPr>
            <w:tcW w:w="6447" w:type="dxa"/>
          </w:tcPr>
          <w:p>
            <w:pPr>
              <w:rPr>
                <w:sz w:val="24"/>
                <w:szCs w:val="24"/>
              </w:rPr>
            </w:pPr>
            <w:r>
              <w:rPr>
                <w:sz w:val="24"/>
                <w:szCs w:val="24"/>
              </w:rPr>
              <w:t>Участник отбора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7577" w:type="dxa"/>
          </w:tcPr>
          <w:p>
            <w:pPr>
              <w:rPr>
                <w:sz w:val="24"/>
                <w:szCs w:val="24"/>
              </w:rPr>
            </w:pPr>
            <w:r>
              <w:rPr>
                <w:sz w:val="24"/>
                <w:szCs w:val="24"/>
              </w:rPr>
              <w:t>Декларативно по форме заявки на участие в предварительном квалификационном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3</w:t>
            </w:r>
          </w:p>
        </w:tc>
        <w:tc>
          <w:tcPr>
            <w:tcW w:w="6447" w:type="dxa"/>
          </w:tcPr>
          <w:p>
            <w:pPr>
              <w:rPr>
                <w:rFonts w:hint="default"/>
                <w:sz w:val="24"/>
                <w:szCs w:val="24"/>
                <w:lang w:val="ru-RU"/>
              </w:rPr>
            </w:pPr>
            <w:r>
              <w:rPr>
                <w:sz w:val="24"/>
                <w:szCs w:val="24"/>
              </w:rPr>
              <w:t>Сведения об Участнике отбора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rFonts w:hint="default"/>
                <w:sz w:val="24"/>
                <w:szCs w:val="24"/>
                <w:lang w:val="en-US"/>
              </w:rPr>
              <w:t>5</w:t>
            </w:r>
            <w:r>
              <w:rPr>
                <w:rFonts w:hint="default"/>
                <w:sz w:val="24"/>
                <w:szCs w:val="24"/>
                <w:lang w:val="ru-RU"/>
              </w:rPr>
              <w:t>.3.4</w:t>
            </w:r>
          </w:p>
        </w:tc>
        <w:tc>
          <w:tcPr>
            <w:tcW w:w="6447" w:type="dxa"/>
          </w:tcPr>
          <w:p>
            <w:pPr>
              <w:rPr>
                <w:sz w:val="24"/>
                <w:szCs w:val="24"/>
              </w:rPr>
            </w:pPr>
            <w:r>
              <w:rPr>
                <w:sz w:val="24"/>
                <w:szCs w:val="24"/>
              </w:rPr>
              <w:t>Сведения об Участнике отбора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5</w:t>
            </w:r>
          </w:p>
        </w:tc>
        <w:tc>
          <w:tcPr>
            <w:tcW w:w="6447" w:type="dxa"/>
          </w:tcPr>
          <w:p>
            <w:pPr>
              <w:rPr>
                <w:sz w:val="24"/>
                <w:szCs w:val="24"/>
              </w:rPr>
            </w:pPr>
            <w:r>
              <w:rPr>
                <w:sz w:val="24"/>
                <w:szCs w:val="24"/>
              </w:rPr>
              <w:t>Единоличный исполнительный орган и главный бухгалтер Участника отбора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bl>
    <w:p>
      <w:pPr>
        <w:pBdr>
          <w:top w:val="none" w:color="000000" w:sz="0" w:space="0"/>
          <w:left w:val="none" w:color="000000" w:sz="0" w:space="0"/>
          <w:bottom w:val="none" w:color="000000" w:sz="0" w:space="0"/>
          <w:right w:val="none" w:color="000000" w:sz="0" w:space="0"/>
        </w:pBdr>
        <w:suppressAutoHyphens/>
        <w:ind w:firstLine="540"/>
        <w:rPr>
          <w:rFonts w:eastAsia="Arial Unicode MS"/>
          <w:b/>
          <w:color w:val="000000"/>
          <w:sz w:val="22"/>
          <w:szCs w:val="22"/>
          <w:lang w:eastAsia="zh-CN"/>
        </w:rPr>
      </w:pPr>
    </w:p>
    <w:p>
      <w:pPr>
        <w:pStyle w:val="3"/>
        <w:keepLines w:val="0"/>
        <w:widowControl w:val="0"/>
        <w:numPr>
          <w:ilvl w:val="1"/>
          <w:numId w:val="0"/>
        </w:numPr>
        <w:tabs>
          <w:tab w:val="left" w:pos="6663"/>
          <w:tab w:val="clear" w:pos="360"/>
        </w:tabs>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5.4 Специальные требования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61"/>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jc w:val="center"/>
              <w:rPr>
                <w:b/>
                <w:sz w:val="24"/>
                <w:szCs w:val="24"/>
              </w:rPr>
            </w:pPr>
            <w:r>
              <w:rPr>
                <w:b/>
                <w:sz w:val="24"/>
                <w:szCs w:val="24"/>
              </w:rPr>
              <w:t>№ п/п</w:t>
            </w:r>
          </w:p>
        </w:tc>
        <w:tc>
          <w:tcPr>
            <w:tcW w:w="6456" w:type="dxa"/>
          </w:tcPr>
          <w:p>
            <w:pPr>
              <w:jc w:val="center"/>
              <w:rPr>
                <w:b/>
                <w:sz w:val="24"/>
                <w:szCs w:val="24"/>
              </w:rPr>
            </w:pPr>
            <w:r>
              <w:rPr>
                <w:b/>
                <w:sz w:val="24"/>
                <w:szCs w:val="24"/>
              </w:rPr>
              <w:t>Требования к Участникам</w:t>
            </w:r>
          </w:p>
        </w:tc>
        <w:tc>
          <w:tcPr>
            <w:tcW w:w="8370"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pStyle w:val="149"/>
              <w:ind w:left="284"/>
              <w:rPr>
                <w:sz w:val="24"/>
                <w:szCs w:val="24"/>
              </w:rPr>
            </w:pPr>
            <w:bookmarkStart w:id="20" w:name="_Ref513806854"/>
            <w:r>
              <w:rPr>
                <w:sz w:val="24"/>
                <w:szCs w:val="24"/>
              </w:rPr>
              <w:t>5.4.1</w:t>
            </w:r>
          </w:p>
          <w:bookmarkEnd w:id="20"/>
        </w:tc>
        <w:tc>
          <w:tcPr>
            <w:tcW w:w="6456"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8370" w:type="dxa"/>
          </w:tcPr>
          <w:p>
            <w:pPr>
              <w:widowControl w:val="0"/>
              <w:rPr>
                <w:rFonts w:hint="default"/>
                <w:i/>
                <w:iCs/>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Pr>
                <w:rFonts w:hint="default"/>
                <w:i/>
                <w:iCs/>
                <w:sz w:val="24"/>
                <w:szCs w:val="24"/>
              </w:rPr>
              <w:t xml:space="preserve">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pPr>
              <w:widowControl w:val="0"/>
              <w:rPr>
                <w:sz w:val="24"/>
                <w:szCs w:val="24"/>
              </w:rPr>
            </w:pPr>
            <w:r>
              <w:rPr>
                <w:rFonts w:hint="default"/>
                <w:i/>
                <w:iCs/>
                <w:sz w:val="24"/>
                <w:szCs w:val="24"/>
              </w:rPr>
              <w:t>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четвертого (При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быть не ниже четвертого для ответственного Участника, и не ниже 1 уровня для остальных участников, входящих в со</w:t>
            </w:r>
            <w:r>
              <w:rPr>
                <w:rFonts w:hint="default"/>
                <w:i/>
                <w:iCs/>
                <w:sz w:val="24"/>
                <w:szCs w:val="24"/>
                <w:lang w:val="en-US"/>
              </w:rPr>
              <w:t>c</w:t>
            </w:r>
            <w:r>
              <w:rPr>
                <w:rFonts w:hint="default"/>
                <w:i/>
                <w:iCs/>
                <w:sz w:val="24"/>
                <w:szCs w:val="24"/>
              </w:rPr>
              <w:t>тав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21" w:name="_Toc515659391"/>
      <w:bookmarkEnd w:id="21"/>
      <w:bookmarkStart w:id="22" w:name="_Toc515659399"/>
      <w:bookmarkEnd w:id="22"/>
      <w:bookmarkStart w:id="23" w:name="_Ref514618002"/>
      <w:bookmarkStart w:id="24" w:name="_Toc31046812"/>
      <w:bookmarkStart w:id="25" w:name="_Toc514805487"/>
      <w:bookmarkStart w:id="26" w:name="_Ref513730023"/>
      <w:bookmarkStart w:id="27" w:name="_Toc514814132"/>
    </w:p>
    <w:p>
      <w:pPr>
        <w:pStyle w:val="3"/>
        <w:keepLines w:val="0"/>
        <w:numPr>
          <w:ilvl w:val="1"/>
          <w:numId w:val="0"/>
        </w:numPr>
        <w:tabs>
          <w:tab w:val="left" w:pos="6663"/>
          <w:tab w:val="clear" w:pos="360"/>
        </w:tabs>
        <w:spacing w:before="0"/>
        <w:ind w:left="1134"/>
        <w:rPr>
          <w:rFonts w:ascii="Times New Roman" w:hAnsi="Times New Roman" w:cs="Times New Roman"/>
          <w:b/>
          <w:bCs/>
          <w:color w:val="auto"/>
          <w:sz w:val="24"/>
          <w:szCs w:val="24"/>
        </w:rPr>
      </w:pPr>
      <w:r>
        <w:rPr>
          <w:rFonts w:ascii="Times New Roman" w:hAnsi="Times New Roman" w:cs="Times New Roman"/>
          <w:b/>
          <w:bCs/>
          <w:color w:val="auto"/>
          <w:sz w:val="24"/>
          <w:szCs w:val="24"/>
        </w:rPr>
        <w:t>5.5. Квалификационные требования</w:t>
      </w:r>
      <w:bookmarkEnd w:id="23"/>
      <w:bookmarkEnd w:id="24"/>
      <w:bookmarkEnd w:id="25"/>
      <w:bookmarkEnd w:id="26"/>
      <w:bookmarkEnd w:id="2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769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5.5.1</w:t>
            </w:r>
          </w:p>
        </w:tc>
        <w:tc>
          <w:tcPr>
            <w:tcW w:w="5973" w:type="dxa"/>
          </w:tcPr>
          <w:p>
            <w:pPr>
              <w:widowControl w:val="0"/>
              <w:rPr>
                <w:b/>
                <w:bCs/>
                <w:sz w:val="24"/>
                <w:szCs w:val="24"/>
                <w:highlight w:val="none"/>
              </w:rPr>
            </w:pPr>
            <w:r>
              <w:rPr>
                <w:b/>
                <w:bCs/>
                <w:sz w:val="24"/>
                <w:szCs w:val="24"/>
                <w:highlight w:val="none"/>
              </w:rPr>
              <w:t>Требования к наличию опыта, в том числе:</w:t>
            </w:r>
          </w:p>
          <w:p>
            <w:pPr>
              <w:suppressAutoHyphens/>
              <w:jc w:val="both"/>
              <w:rPr>
                <w:rFonts w:eastAsia="Arial Unicode MS"/>
                <w:b/>
                <w:i/>
                <w:sz w:val="24"/>
                <w:szCs w:val="24"/>
                <w:highlight w:val="none"/>
                <w:lang w:eastAsia="zh-CN"/>
              </w:rPr>
            </w:pPr>
            <w:r>
              <w:rPr>
                <w:rFonts w:eastAsia="Arial Unicode MS"/>
                <w:b/>
                <w:i/>
                <w:sz w:val="24"/>
                <w:szCs w:val="24"/>
                <w:highlight w:val="none"/>
                <w:lang w:eastAsia="zh-CN"/>
              </w:rPr>
              <w:t xml:space="preserve">Опыт исполнения (с учетом правопреемства) контрактов (договоров) на работы по проектированию объектов, заключенные </w:t>
            </w:r>
            <w:r>
              <w:rPr>
                <w:rFonts w:eastAsia="Arial Unicode MS"/>
                <w:b/>
                <w:i/>
                <w:color w:val="FF0000"/>
                <w:sz w:val="24"/>
                <w:szCs w:val="24"/>
                <w:highlight w:val="none"/>
                <w:lang w:eastAsia="zh-CN"/>
              </w:rPr>
              <w:t>не ранее 201</w:t>
            </w:r>
            <w:r>
              <w:rPr>
                <w:rFonts w:hint="default" w:eastAsia="Arial Unicode MS"/>
                <w:b/>
                <w:i/>
                <w:color w:val="FF0000"/>
                <w:sz w:val="24"/>
                <w:szCs w:val="24"/>
                <w:highlight w:val="none"/>
                <w:lang w:val="ru-RU" w:eastAsia="zh-CN"/>
              </w:rPr>
              <w:t>6</w:t>
            </w:r>
            <w:r>
              <w:rPr>
                <w:rFonts w:eastAsia="Arial Unicode MS"/>
                <w:b/>
                <w:i/>
                <w:color w:val="FF0000"/>
                <w:sz w:val="24"/>
                <w:szCs w:val="24"/>
                <w:highlight w:val="none"/>
                <w:lang w:eastAsia="zh-CN"/>
              </w:rPr>
              <w:t xml:space="preserve"> года</w:t>
            </w:r>
            <w:r>
              <w:rPr>
                <w:rFonts w:eastAsia="Arial Unicode MS"/>
                <w:b/>
                <w:i/>
                <w:sz w:val="24"/>
                <w:szCs w:val="24"/>
                <w:highlight w:val="none"/>
                <w:lang w:eastAsia="zh-CN"/>
              </w:rPr>
              <w:t>, при условии получения положительного заключения экспертизы проектной документации, при этом:</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 а) суммарная стоимость ранее исполненных контрактов (договоров) должна</w:t>
            </w:r>
            <w:r>
              <w:rPr>
                <w:rFonts w:eastAsia="Arial Unicode MS"/>
                <w:b/>
                <w:i/>
                <w:sz w:val="24"/>
                <w:szCs w:val="24"/>
                <w:highlight w:val="none"/>
                <w:lang w:eastAsia="zh-CN"/>
              </w:rPr>
              <w:t xml:space="preserve"> </w:t>
            </w:r>
            <w:r>
              <w:rPr>
                <w:rFonts w:eastAsia="Arial Unicode MS"/>
                <w:bCs/>
                <w:i/>
                <w:sz w:val="24"/>
                <w:szCs w:val="24"/>
                <w:highlight w:val="none"/>
                <w:lang w:eastAsia="zh-CN"/>
              </w:rPr>
              <w:t>составляет не менее 60 000 000 (шестьдесят миллионов) рублей.</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б) не менее  </w:t>
            </w:r>
            <w:r>
              <w:rPr>
                <w:rFonts w:hint="default" w:eastAsia="Arial Unicode MS"/>
                <w:bCs/>
                <w:i/>
                <w:sz w:val="24"/>
                <w:szCs w:val="24"/>
                <w:highlight w:val="none"/>
                <w:lang w:val="ru-RU" w:eastAsia="zh-CN"/>
              </w:rPr>
              <w:t>50</w:t>
            </w:r>
            <w:r>
              <w:rPr>
                <w:rFonts w:eastAsia="Arial Unicode MS"/>
                <w:bCs/>
                <w:i/>
                <w:sz w:val="24"/>
                <w:szCs w:val="24"/>
                <w:highlight w:val="none"/>
                <w:lang w:eastAsia="zh-CN"/>
              </w:rPr>
              <w:t>%  суммарной стоимости ранее исполненных контрактов (договоров) должны составлять  работы по проектированию зданий (жилые, промышленные и пр.)</w:t>
            </w:r>
          </w:p>
          <w:p>
            <w:pPr>
              <w:suppressAutoHyphens/>
              <w:rPr>
                <w:rFonts w:eastAsia="Arial Unicode MS"/>
                <w:bCs/>
                <w:i/>
                <w:sz w:val="24"/>
                <w:szCs w:val="24"/>
                <w:highlight w:val="none"/>
                <w:lang w:eastAsia="zh-CN"/>
              </w:rPr>
            </w:pPr>
          </w:p>
          <w:p>
            <w:pPr>
              <w:widowControl w:val="0"/>
              <w:rPr>
                <w:b/>
                <w:bCs/>
                <w:sz w:val="24"/>
                <w:szCs w:val="24"/>
                <w:highlight w:val="none"/>
              </w:rPr>
            </w:pPr>
          </w:p>
        </w:tc>
        <w:tc>
          <w:tcPr>
            <w:tcW w:w="769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highlight w:val="none"/>
              </w:rPr>
            </w:pPr>
            <w:r>
              <w:rPr>
                <w:rFonts w:eastAsia="Arial Unicode MS"/>
                <w:sz w:val="24"/>
                <w:szCs w:val="24"/>
                <w:highlight w:val="none"/>
                <w:lang w:eastAsia="en-US"/>
              </w:rPr>
              <w:t>Оценка проводится на основе сведений, приведенных участником по форме 7.3.1 «Опыт: аналогичные виды работ»</w:t>
            </w:r>
            <w:r>
              <w:rPr>
                <w:rFonts w:eastAsia="Arial Unicode MS"/>
                <w:sz w:val="24"/>
                <w:szCs w:val="24"/>
                <w:highlight w:val="none"/>
                <w:lang w:eastAsia="zh-CN"/>
              </w:rPr>
              <w:t xml:space="preserve"> с приложением подтверждающих документов:</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7"/>
              <w:jc w:val="both"/>
              <w:rPr>
                <w:rFonts w:eastAsia="Arial Unicode MS"/>
                <w:sz w:val="24"/>
                <w:szCs w:val="24"/>
                <w:highlight w:val="none"/>
                <w:lang w:eastAsia="en-US"/>
              </w:rPr>
            </w:pPr>
            <w:r>
              <w:rPr>
                <w:rFonts w:eastAsia="Arial Unicode MS"/>
                <w:sz w:val="24"/>
                <w:szCs w:val="24"/>
                <w:highlight w:val="none"/>
                <w:lang w:eastAsia="en-US"/>
              </w:rPr>
              <w:t>В положительных заключениях заявитель должен быть указан как разработчик одного или нескольких разделов проектной документации;</w:t>
            </w:r>
          </w:p>
          <w:p>
            <w:pPr>
              <w:pBdr>
                <w:top w:val="none" w:color="000000" w:sz="0" w:space="0"/>
                <w:left w:val="none" w:color="000000" w:sz="0" w:space="0"/>
                <w:bottom w:val="none" w:color="000000" w:sz="0" w:space="0"/>
                <w:right w:val="none" w:color="000000" w:sz="0" w:space="0"/>
              </w:pBdr>
              <w:suppressAutoHyphens/>
              <w:rPr>
                <w:rFonts w:eastAsia="Arial Unicode MS"/>
                <w:sz w:val="24"/>
                <w:szCs w:val="24"/>
                <w:highlight w:val="none"/>
                <w:lang w:eastAsia="en-US"/>
              </w:rPr>
            </w:pPr>
          </w:p>
          <w:p>
            <w:pPr>
              <w:pBdr>
                <w:top w:val="none" w:color="000000" w:sz="0" w:space="0"/>
                <w:left w:val="none" w:color="000000" w:sz="0" w:space="0"/>
                <w:bottom w:val="none" w:color="000000" w:sz="0" w:space="0"/>
                <w:right w:val="none" w:color="000000" w:sz="0" w:space="0"/>
              </w:pBdr>
              <w:suppressAutoHyphens/>
              <w:rPr>
                <w:b/>
                <w:i/>
                <w:sz w:val="24"/>
                <w:szCs w:val="24"/>
                <w:highlight w:val="none"/>
                <w:shd w:val="clear" w:color="auto" w:fill="FFFF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5.5.2</w:t>
            </w:r>
          </w:p>
        </w:tc>
        <w:tc>
          <w:tcPr>
            <w:tcW w:w="5973" w:type="dxa"/>
          </w:tcPr>
          <w:p>
            <w:pPr>
              <w:rPr>
                <w:b/>
                <w:bCs/>
                <w:sz w:val="24"/>
                <w:szCs w:val="24"/>
              </w:rPr>
            </w:pPr>
            <w:r>
              <w:rPr>
                <w:b/>
                <w:bCs/>
                <w:sz w:val="24"/>
                <w:szCs w:val="24"/>
              </w:rPr>
              <w:t>Требования к наличию кадровых ресурсов, в том числе:</w:t>
            </w:r>
          </w:p>
          <w:p>
            <w:pPr>
              <w:numPr>
                <w:ilvl w:val="0"/>
                <w:numId w:val="0"/>
              </w:numPr>
              <w:spacing w:after="240" w:afterLines="100"/>
              <w:ind w:leftChars="0"/>
              <w:jc w:val="both"/>
              <w:rPr>
                <w:rFonts w:hint="default"/>
                <w:sz w:val="24"/>
                <w:szCs w:val="24"/>
                <w:lang w:val="ru-RU"/>
              </w:rPr>
            </w:pPr>
            <w:r>
              <w:rPr>
                <w:sz w:val="24"/>
                <w:szCs w:val="24"/>
              </w:rPr>
              <w:t>Специалисты в области</w:t>
            </w:r>
            <w:r>
              <w:rPr>
                <w:rFonts w:hint="default"/>
                <w:sz w:val="24"/>
                <w:szCs w:val="24"/>
                <w:lang w:val="ru-RU"/>
              </w:rPr>
              <w:t xml:space="preserve"> архитектуры, </w:t>
            </w:r>
            <w:r>
              <w:rPr>
                <w:sz w:val="24"/>
                <w:szCs w:val="24"/>
              </w:rPr>
              <w:t>территориального планирования и планировки территорий</w:t>
            </w:r>
            <w:r>
              <w:rPr>
                <w:rFonts w:hint="default"/>
                <w:sz w:val="24"/>
                <w:szCs w:val="24"/>
                <w:lang w:val="ru-RU"/>
              </w:rPr>
              <w:t xml:space="preserve">, </w:t>
            </w:r>
            <w:r>
              <w:rPr>
                <w:sz w:val="24"/>
                <w:szCs w:val="24"/>
              </w:rPr>
              <w:t xml:space="preserve"> разработки проектной документации не менее </w:t>
            </w:r>
            <w:r>
              <w:rPr>
                <w:rFonts w:hint="default"/>
                <w:sz w:val="24"/>
                <w:szCs w:val="24"/>
                <w:highlight w:val="none"/>
                <w:lang w:val="ru-RU"/>
              </w:rPr>
              <w:t>20-ти</w:t>
            </w:r>
            <w:r>
              <w:rPr>
                <w:sz w:val="24"/>
                <w:szCs w:val="24"/>
                <w:highlight w:val="none"/>
              </w:rPr>
              <w:t xml:space="preserve"> человек</w:t>
            </w:r>
            <w:r>
              <w:rPr>
                <w:rFonts w:hint="default"/>
                <w:sz w:val="24"/>
                <w:szCs w:val="24"/>
                <w:highlight w:val="none"/>
                <w:lang w:val="ru-RU"/>
              </w:rPr>
              <w:t>.</w:t>
            </w:r>
          </w:p>
        </w:tc>
        <w:tc>
          <w:tcPr>
            <w:tcW w:w="7691" w:type="dxa"/>
          </w:tcPr>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zh-CN"/>
              </w:rPr>
            </w:pPr>
            <w:r>
              <w:rPr>
                <w:rFonts w:eastAsia="Arial Unicode MS"/>
                <w:iCs/>
                <w:sz w:val="24"/>
                <w:szCs w:val="24"/>
                <w:lang w:eastAsia="en-US"/>
              </w:rPr>
              <w:t>Н</w:t>
            </w:r>
            <w:r>
              <w:rPr>
                <w:rFonts w:eastAsia="Arial Unicode MS"/>
                <w:iCs/>
                <w:sz w:val="24"/>
                <w:szCs w:val="24"/>
                <w:lang w:eastAsia="zh-CN"/>
              </w:rPr>
              <w:t>аличие у участника отбор</w:t>
            </w:r>
            <w:r>
              <w:rPr>
                <w:rFonts w:eastAsia="Arial Unicode MS"/>
                <w:iCs/>
                <w:sz w:val="24"/>
                <w:szCs w:val="24"/>
                <w:highlight w:val="none"/>
                <w:lang w:eastAsia="zh-CN"/>
              </w:rPr>
              <w:t xml:space="preserve">а в штате </w:t>
            </w:r>
            <w:r>
              <w:rPr>
                <w:rFonts w:eastAsia="Arial Unicode MS"/>
                <w:iCs/>
                <w:sz w:val="24"/>
                <w:szCs w:val="24"/>
                <w:highlight w:val="none"/>
                <w:lang w:val="ru-RU" w:eastAsia="zh-CN"/>
              </w:rPr>
              <w:t>по</w:t>
            </w:r>
            <w:r>
              <w:rPr>
                <w:rFonts w:hint="default" w:eastAsia="Arial Unicode MS"/>
                <w:iCs/>
                <w:sz w:val="24"/>
                <w:szCs w:val="24"/>
                <w:highlight w:val="none"/>
                <w:lang w:val="ru-RU" w:eastAsia="zh-CN"/>
              </w:rPr>
              <w:t xml:space="preserve"> основному месту работы </w:t>
            </w:r>
            <w:r>
              <w:rPr>
                <w:rFonts w:eastAsia="Arial Unicode MS"/>
                <w:iCs/>
                <w:sz w:val="24"/>
                <w:szCs w:val="24"/>
                <w:highlight w:val="none"/>
                <w:lang w:eastAsia="zh-CN"/>
              </w:rPr>
              <w:t xml:space="preserve"> необходимой численности персонала (сотрудников) с профильным образованием  соответствующей квалификации и опытом работы в данной сфере.</w:t>
            </w:r>
            <w:r>
              <w:rPr>
                <w:rFonts w:eastAsia="Arial Unicode MS"/>
                <w:iCs/>
                <w:sz w:val="24"/>
                <w:szCs w:val="24"/>
                <w:lang w:eastAsia="zh-CN"/>
              </w:rPr>
              <w:t xml:space="preserve"> </w:t>
            </w:r>
            <w:r>
              <w:rPr>
                <w:rFonts w:eastAsia="Arial Unicode MS"/>
                <w:iCs/>
                <w:sz w:val="24"/>
                <w:szCs w:val="24"/>
                <w:lang w:val="ru-RU" w:eastAsia="zh-CN"/>
              </w:rPr>
              <w:t>С</w:t>
            </w:r>
            <w:r>
              <w:rPr>
                <w:rFonts w:eastAsia="Arial Unicode MS"/>
                <w:iCs/>
                <w:sz w:val="24"/>
                <w:szCs w:val="24"/>
                <w:lang w:eastAsia="zh-CN"/>
              </w:rPr>
              <w:t>пециалист</w:t>
            </w:r>
            <w:r>
              <w:rPr>
                <w:rFonts w:eastAsia="Arial Unicode MS"/>
                <w:iCs/>
                <w:sz w:val="24"/>
                <w:szCs w:val="24"/>
                <w:lang w:val="ru-RU" w:eastAsia="zh-CN"/>
              </w:rPr>
              <w:t>ы</w:t>
            </w:r>
            <w:r>
              <w:rPr>
                <w:rFonts w:eastAsia="Arial Unicode MS"/>
                <w:iCs/>
                <w:sz w:val="24"/>
                <w:szCs w:val="24"/>
                <w:lang w:eastAsia="zh-CN"/>
              </w:rPr>
              <w:t xml:space="preserve">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документально подтвержденных сведений, приведенных участником в соответствии с</w:t>
            </w:r>
            <w:r>
              <w:rPr>
                <w:rFonts w:eastAsia="Arial Unicode MS"/>
                <w:sz w:val="24"/>
                <w:szCs w:val="24"/>
              </w:rPr>
              <w:t xml:space="preserve"> </w:t>
            </w:r>
            <w:r>
              <w:rPr>
                <w:rFonts w:eastAsia="Arial Unicode MS"/>
                <w:sz w:val="24"/>
                <w:szCs w:val="24"/>
                <w:lang w:eastAsia="zh-CN"/>
              </w:rPr>
              <w:t>формой «Кадровые ресурсы: специалисты» (форма 7.4 Паспорта закупки)</w:t>
            </w:r>
            <w:r>
              <w:rPr>
                <w:rFonts w:eastAsia="Arial Unicode MS"/>
                <w:sz w:val="24"/>
                <w:szCs w:val="24"/>
                <w:lang w:eastAsia="en-US"/>
              </w:rPr>
              <w:t>.</w:t>
            </w:r>
            <w:r>
              <w:rPr>
                <w:rFonts w:eastAsia="Arial Unicode MS"/>
                <w:iCs/>
                <w:sz w:val="24"/>
                <w:szCs w:val="24"/>
                <w:lang w:eastAsia="en-US"/>
              </w:rPr>
              <w:t xml:space="preserve"> </w:t>
            </w:r>
          </w:p>
          <w:p>
            <w:pPr>
              <w:pBdr>
                <w:top w:val="none" w:color="000000" w:sz="0" w:space="0"/>
                <w:left w:val="none" w:color="000000" w:sz="0" w:space="0"/>
                <w:bottom w:val="none" w:color="000000" w:sz="0" w:space="0"/>
                <w:right w:val="none" w:color="000000" w:sz="0" w:space="0"/>
              </w:pBdr>
              <w:suppressAutoHyphens/>
              <w:jc w:val="both"/>
              <w:rPr>
                <w:rFonts w:hint="default" w:eastAsia="Arial Unicode MS"/>
                <w:sz w:val="24"/>
                <w:szCs w:val="24"/>
                <w:lang w:val="ru-RU" w:eastAsia="zh-CN"/>
              </w:rPr>
            </w:pPr>
            <w:r>
              <w:rPr>
                <w:rFonts w:eastAsia="Arial Unicode MS"/>
                <w:iCs/>
                <w:sz w:val="24"/>
                <w:szCs w:val="24"/>
                <w:lang w:eastAsia="en-US"/>
              </w:rPr>
              <w:t>В подтверждение наличия предлагаемых для выполнения работ работников с профильным образованием, соответствующей квалификации и опытом работы в данной сфере не менее 5 лет, участники отбора представляют копии документов</w:t>
            </w:r>
            <w:r>
              <w:rPr>
                <w:rFonts w:eastAsia="Arial Unicode MS"/>
                <w:sz w:val="24"/>
                <w:szCs w:val="24"/>
                <w:lang w:eastAsia="zh-CN"/>
              </w:rPr>
              <w:t xml:space="preserve"> </w:t>
            </w:r>
            <w:r>
              <w:rPr>
                <w:rFonts w:eastAsia="Arial Unicode MS"/>
                <w:iCs/>
                <w:sz w:val="24"/>
                <w:szCs w:val="24"/>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hint="default" w:eastAsia="Arial Unicode MS"/>
                <w:iCs/>
                <w:sz w:val="24"/>
                <w:szCs w:val="24"/>
                <w:lang w:val="ru-RU" w:eastAsia="en-US"/>
              </w:rPr>
              <w:t>.</w:t>
            </w:r>
          </w:p>
          <w:p>
            <w:pPr>
              <w:pBdr>
                <w:top w:val="none" w:color="000000" w:sz="0" w:space="0"/>
                <w:left w:val="none" w:color="000000" w:sz="0" w:space="0"/>
                <w:bottom w:val="none" w:color="000000" w:sz="0" w:space="0"/>
                <w:right w:val="none" w:color="000000" w:sz="0" w:space="0"/>
              </w:pBdr>
              <w:suppressAutoHyphens/>
              <w:jc w:val="both"/>
              <w:rPr>
                <w:rFonts w:eastAsia="Calibri"/>
                <w:iCs/>
                <w:sz w:val="24"/>
                <w:szCs w:val="24"/>
                <w:lang w:eastAsia="en-US"/>
              </w:rPr>
            </w:pPr>
            <w:r>
              <w:rPr>
                <w:rFonts w:eastAsia="Arial Unicode MS"/>
                <w:iCs/>
                <w:sz w:val="24"/>
                <w:szCs w:val="24"/>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spacing w:after="150"/>
              <w:jc w:val="both"/>
              <w:rPr>
                <w:b/>
                <w:i/>
                <w:sz w:val="24"/>
                <w:szCs w:val="24"/>
                <w:shd w:val="clear" w:color="auto" w:fill="FFFF99"/>
              </w:rPr>
            </w:pPr>
            <w:r>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Pr>
                <w:sz w:val="24"/>
                <w:szCs w:val="24"/>
              </w:rPr>
              <w:t>Федерального закона от 27.07.2006 №152-ФЗ «О персональных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5.5.3</w:t>
            </w:r>
          </w:p>
        </w:tc>
        <w:tc>
          <w:tcPr>
            <w:tcW w:w="5973" w:type="dxa"/>
          </w:tcPr>
          <w:p>
            <w:pPr>
              <w:widowControl w:val="0"/>
              <w:rPr>
                <w:b/>
                <w:bCs/>
                <w:sz w:val="24"/>
                <w:szCs w:val="24"/>
                <w:highlight w:val="none"/>
              </w:rPr>
            </w:pPr>
            <w:r>
              <w:rPr>
                <w:b/>
                <w:bCs/>
                <w:sz w:val="24"/>
                <w:szCs w:val="24"/>
                <w:highlight w:val="none"/>
              </w:rPr>
              <w:t>Требования к наличию МТР, а именно:</w:t>
            </w:r>
          </w:p>
          <w:p>
            <w:pPr>
              <w:widowControl w:val="0"/>
              <w:rPr>
                <w:sz w:val="24"/>
                <w:szCs w:val="24"/>
                <w:highlight w:val="none"/>
              </w:rPr>
            </w:pPr>
          </w:p>
          <w:p>
            <w:pPr>
              <w:widowControl w:val="0"/>
              <w:rPr>
                <w:rFonts w:eastAsia="Arial Unicode MS"/>
                <w:b/>
                <w:i/>
                <w:iCs/>
                <w:sz w:val="24"/>
                <w:szCs w:val="24"/>
                <w:highlight w:val="yellow"/>
                <w:lang w:eastAsia="zh-CN"/>
              </w:rPr>
            </w:pPr>
            <w:r>
              <w:rPr>
                <w:rFonts w:eastAsia="Arial Unicode MS"/>
                <w:b/>
                <w:i/>
                <w:iCs/>
                <w:sz w:val="24"/>
                <w:szCs w:val="24"/>
                <w:lang w:eastAsia="en-US"/>
              </w:rPr>
              <w:t>Наличие специализированных (прикладных) программных комплексов по проектно-исследовательским работам</w:t>
            </w:r>
          </w:p>
          <w:p>
            <w:pPr>
              <w:widowControl w:val="0"/>
              <w:numPr>
                <w:ilvl w:val="-1"/>
                <w:numId w:val="0"/>
              </w:numPr>
              <w:rPr>
                <w:rFonts w:eastAsia="Arial Unicode MS"/>
                <w:b/>
                <w:i/>
                <w:color w:val="FF0000"/>
                <w:sz w:val="24"/>
                <w:szCs w:val="24"/>
                <w:highlight w:val="none"/>
                <w:lang w:eastAsia="zh-CN"/>
              </w:rPr>
            </w:pPr>
          </w:p>
        </w:tc>
        <w:tc>
          <w:tcPr>
            <w:tcW w:w="7691" w:type="dxa"/>
          </w:tcPr>
          <w:p>
            <w:pPr>
              <w:widowControl w:val="0"/>
              <w:rPr>
                <w:rFonts w:eastAsia="Arial Unicode MS"/>
                <w:b/>
                <w:i/>
                <w:iCs/>
                <w:color w:val="auto"/>
                <w:sz w:val="24"/>
                <w:szCs w:val="24"/>
                <w:highlight w:val="none"/>
                <w:lang w:eastAsia="en-US"/>
              </w:rPr>
            </w:pPr>
            <w:r>
              <w:rPr>
                <w:rFonts w:eastAsia="Arial Unicode MS"/>
                <w:b/>
                <w:i/>
                <w:iCs/>
                <w:color w:val="auto"/>
                <w:sz w:val="24"/>
                <w:szCs w:val="24"/>
                <w:highlight w:val="none"/>
                <w:lang w:eastAsia="en-US"/>
              </w:rPr>
              <w:t>Наличие специализированных (прикладных) программных комплексов по проектно-исследовательским работам, в том числе:</w:t>
            </w:r>
          </w:p>
          <w:p>
            <w:pPr>
              <w:widowControl w:val="0"/>
              <w:rPr>
                <w:rFonts w:eastAsia="Arial Unicode MS"/>
                <w:b/>
                <w:i/>
                <w:iCs/>
                <w:color w:val="auto"/>
                <w:sz w:val="24"/>
                <w:szCs w:val="24"/>
                <w:highlight w:val="none"/>
                <w:lang w:eastAsia="en-US"/>
              </w:rPr>
            </w:pP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«AutoCad» 2002 – 2020 (или аналогичной программы, обеспечивающей графическое представление проектных решений и результатов инженерных изысканий)</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сведений, приведенных участником по форме 7.</w:t>
            </w:r>
            <w:r>
              <w:rPr>
                <w:rFonts w:hint="default" w:eastAsia="Arial Unicode MS"/>
                <w:sz w:val="24"/>
                <w:szCs w:val="24"/>
                <w:lang w:val="ru-RU" w:eastAsia="en-US"/>
              </w:rPr>
              <w:t>5</w:t>
            </w:r>
            <w:r>
              <w:rPr>
                <w:rFonts w:eastAsia="Arial Unicode MS"/>
                <w:sz w:val="24"/>
                <w:szCs w:val="24"/>
                <w:lang w:eastAsia="en-US"/>
              </w:rPr>
              <w:t>.</w:t>
            </w:r>
          </w:p>
          <w:p>
            <w:pPr>
              <w:rPr>
                <w:b/>
                <w:i/>
                <w:sz w:val="24"/>
                <w:szCs w:val="24"/>
                <w:shd w:val="clear" w:color="auto" w:fill="FFFF99"/>
              </w:rPr>
            </w:pPr>
            <w:r>
              <w:rPr>
                <w:rFonts w:eastAsia="Arial Unicode MS"/>
                <w:sz w:val="24"/>
                <w:szCs w:val="24"/>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Срок действия лицензия не может составлять менее 6 (шести) месяцев с даты подачи заявки на проведение отбора. </w:t>
            </w:r>
          </w:p>
        </w:tc>
      </w:tr>
    </w:tbl>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28" w:name="Par1297"/>
      <w:bookmarkEnd w:id="28"/>
      <w:bookmarkStart w:id="29" w:name="Par1299"/>
      <w:bookmarkEnd w:id="29"/>
      <w:bookmarkStart w:id="30" w:name="Par1308"/>
      <w:bookmarkEnd w:id="30"/>
      <w:bookmarkStart w:id="31" w:name="Par1298"/>
      <w:bookmarkEnd w:id="31"/>
      <w:bookmarkStart w:id="32" w:name="Par1302"/>
      <w:bookmarkEnd w:id="32"/>
      <w:bookmarkStart w:id="33" w:name="Par1300"/>
      <w:bookmarkEnd w:id="33"/>
      <w:bookmarkStart w:id="34" w:name="Par1301"/>
      <w:bookmarkEnd w:id="34"/>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pgNumType w:fmt="decimal"/>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РАЗДЕЛ 6. ТЕХНИЧЕСКОЕ ЗАДАНИЕ</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tbl>
      <w:tblPr>
        <w:tblStyle w:val="12"/>
        <w:tblW w:w="4876" w:type="pct"/>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0"/>
        <w:gridCol w:w="3539"/>
        <w:gridCol w:w="5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val="ru-RU" w:eastAsia="zh-CN"/>
              </w:rPr>
              <w:t>№ п</w:t>
            </w:r>
            <w:r>
              <w:rPr>
                <w:rFonts w:eastAsia="Arial Unicode MS"/>
                <w:b/>
                <w:sz w:val="24"/>
                <w:szCs w:val="24"/>
                <w:lang w:eastAsia="zh-CN"/>
              </w:rPr>
              <w:t>/</w:t>
            </w:r>
            <w:r>
              <w:rPr>
                <w:rFonts w:eastAsia="Arial Unicode MS"/>
                <w:b/>
                <w:sz w:val="24"/>
                <w:szCs w:val="24"/>
                <w:lang w:val="ru-RU" w:eastAsia="zh-CN"/>
              </w:rPr>
              <w:t>п</w:t>
            </w:r>
          </w:p>
        </w:tc>
        <w:tc>
          <w:tcPr>
            <w:tcW w:w="1793"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Перечень основных данных и требований</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Основные данные и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1.</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Заказчик</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Фонд развития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2.</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rPr>
                <w:rFonts w:eastAsia="Arial Unicode MS"/>
                <w:sz w:val="24"/>
                <w:szCs w:val="24"/>
                <w:lang w:eastAsia="zh-CN"/>
              </w:rPr>
            </w:pPr>
            <w:r>
              <w:rPr>
                <w:rFonts w:eastAsia="Arial Unicode MS"/>
                <w:sz w:val="24"/>
                <w:szCs w:val="24"/>
                <w:lang w:eastAsia="zh-CN"/>
              </w:rPr>
              <w:t>Предмет предварительного квалификационного отбора</w:t>
            </w:r>
          </w:p>
        </w:tc>
        <w:tc>
          <w:tcPr>
            <w:tcW w:w="2930" w:type="pct"/>
            <w:vAlign w:val="center"/>
          </w:tcPr>
          <w:p>
            <w:pPr>
              <w:pBdr>
                <w:top w:val="none" w:color="000000" w:sz="0" w:space="0"/>
                <w:left w:val="none" w:color="000000" w:sz="0" w:space="0"/>
                <w:bottom w:val="none" w:color="000000" w:sz="0" w:space="0"/>
                <w:right w:val="none" w:color="000000" w:sz="0" w:space="0"/>
              </w:pBdr>
              <w:suppressAutoHyphens/>
              <w:contextualSpacing/>
              <w:jc w:val="both"/>
              <w:rPr>
                <w:rFonts w:hint="default" w:eastAsia="Arial Unicode MS"/>
                <w:color w:val="660033"/>
                <w:sz w:val="24"/>
                <w:szCs w:val="24"/>
                <w:lang w:val="ru-RU" w:eastAsia="zh-CN"/>
              </w:rPr>
            </w:pPr>
            <w:r>
              <w:rPr>
                <w:rFonts w:hint="default"/>
                <w:sz w:val="24"/>
                <w:szCs w:val="24"/>
                <w:highlight w:val="none"/>
              </w:rPr>
              <w:t>Дополнительное включение 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превышающей 310 000 000 (триста десять миллионов) рублей</w:t>
            </w:r>
            <w:r>
              <w:rPr>
                <w:rFonts w:hint="default"/>
                <w:sz w:val="24"/>
                <w:szCs w:val="24"/>
                <w:highlight w:val="none"/>
                <w:lang w:val="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3.</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Объем выполняемых работ</w:t>
            </w:r>
          </w:p>
        </w:tc>
        <w:tc>
          <w:tcPr>
            <w:tcW w:w="2930" w:type="pct"/>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 xml:space="preserve">закупочных процедур, </w:t>
            </w:r>
            <w:r>
              <w:rPr>
                <w:rFonts w:eastAsia="Arial Unicode MS"/>
                <w:sz w:val="24"/>
                <w:szCs w:val="24"/>
                <w:highlight w:val="none"/>
                <w:lang w:eastAsia="zh-CN"/>
              </w:rPr>
              <w:t>с начальной максимальной ценой такого договора, не превышающей 3</w:t>
            </w:r>
            <w:r>
              <w:rPr>
                <w:rFonts w:hint="default" w:eastAsia="Arial Unicode MS"/>
                <w:sz w:val="24"/>
                <w:szCs w:val="24"/>
                <w:highlight w:val="none"/>
                <w:lang w:val="ru-RU" w:eastAsia="zh-CN"/>
              </w:rPr>
              <w:t>10</w:t>
            </w:r>
            <w:r>
              <w:rPr>
                <w:rFonts w:eastAsia="Arial Unicode MS"/>
                <w:sz w:val="24"/>
                <w:szCs w:val="24"/>
                <w:highlight w:val="none"/>
                <w:lang w:eastAsia="zh-CN"/>
              </w:rPr>
              <w:t> </w:t>
            </w:r>
            <w:r>
              <w:rPr>
                <w:rFonts w:hint="default" w:eastAsia="Arial Unicode MS"/>
                <w:sz w:val="24"/>
                <w:szCs w:val="24"/>
                <w:highlight w:val="none"/>
                <w:lang w:val="ru-RU" w:eastAsia="zh-CN"/>
              </w:rPr>
              <w:t>0</w:t>
            </w:r>
            <w:r>
              <w:rPr>
                <w:rFonts w:eastAsia="Arial Unicode MS"/>
                <w:sz w:val="24"/>
                <w:szCs w:val="24"/>
                <w:highlight w:val="none"/>
                <w:lang w:eastAsia="zh-CN"/>
              </w:rPr>
              <w:t xml:space="preserve">00 000 </w:t>
            </w:r>
            <w:r>
              <w:rPr>
                <w:rFonts w:hint="default" w:eastAsia="Arial Unicode MS"/>
                <w:sz w:val="24"/>
                <w:szCs w:val="24"/>
                <w:highlight w:val="none"/>
                <w:lang w:eastAsia="zh-CN"/>
              </w:rPr>
              <w:t>(триста десять миллионов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Cs/>
                <w:sz w:val="24"/>
                <w:szCs w:val="24"/>
                <w:lang w:eastAsia="zh-CN"/>
              </w:rPr>
            </w:pPr>
            <w:r>
              <w:rPr>
                <w:rFonts w:eastAsia="Arial Unicode MS"/>
                <w:iCs/>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4</w:t>
            </w:r>
            <w:r>
              <w:rPr>
                <w:rFonts w:eastAsia="Arial Unicode MS"/>
                <w:sz w:val="24"/>
                <w:szCs w:val="24"/>
                <w:lang w:val="en-US" w:eastAsia="zh-CN"/>
              </w:rPr>
              <w:t>.</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Начальная максимальная цена Договора</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закупочных процедур, но не более 3</w:t>
            </w:r>
            <w:r>
              <w:rPr>
                <w:rFonts w:hint="default" w:eastAsia="Arial Unicode MS"/>
                <w:iCs/>
                <w:sz w:val="24"/>
                <w:szCs w:val="24"/>
                <w:lang w:val="ru-RU" w:eastAsia="zh-CN"/>
              </w:rPr>
              <w:t>10</w:t>
            </w:r>
            <w:r>
              <w:rPr>
                <w:rFonts w:eastAsia="Arial Unicode MS"/>
                <w:iCs/>
                <w:sz w:val="24"/>
                <w:szCs w:val="24"/>
                <w:lang w:eastAsia="zh-CN"/>
              </w:rPr>
              <w:t> </w:t>
            </w:r>
            <w:r>
              <w:rPr>
                <w:rFonts w:hint="default" w:eastAsia="Arial Unicode MS"/>
                <w:iCs/>
                <w:sz w:val="24"/>
                <w:szCs w:val="24"/>
                <w:lang w:val="ru-RU" w:eastAsia="zh-CN"/>
              </w:rPr>
              <w:t>0</w:t>
            </w:r>
            <w:r>
              <w:rPr>
                <w:rFonts w:eastAsia="Arial Unicode MS"/>
                <w:iCs/>
                <w:sz w:val="24"/>
                <w:szCs w:val="24"/>
                <w:lang w:eastAsia="zh-CN"/>
              </w:rPr>
              <w:t>00 000 (</w:t>
            </w:r>
            <w:r>
              <w:rPr>
                <w:rFonts w:hint="default" w:eastAsia="Arial Unicode MS"/>
                <w:iCs/>
                <w:sz w:val="24"/>
                <w:szCs w:val="24"/>
                <w:lang w:eastAsia="zh-CN"/>
              </w:rPr>
              <w:t>триста десять миллионов</w:t>
            </w:r>
            <w:r>
              <w:rPr>
                <w:rFonts w:eastAsia="Arial Unicode MS"/>
                <w:iCs/>
                <w:sz w:val="24"/>
                <w:szCs w:val="24"/>
                <w:lang w:eastAsia="zh-CN"/>
              </w:rPr>
              <w:t>)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5</w:t>
            </w:r>
            <w:r>
              <w:rPr>
                <w:rFonts w:eastAsia="Arial Unicode MS"/>
                <w:sz w:val="24"/>
                <w:szCs w:val="24"/>
                <w:lang w:val="en-US" w:eastAsia="zh-CN"/>
              </w:rPr>
              <w:t>.</w:t>
            </w:r>
          </w:p>
        </w:tc>
        <w:tc>
          <w:tcPr>
            <w:tcW w:w="1793" w:type="pct"/>
            <w:tcBorders>
              <w:bottom w:val="single" w:color="000000"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Место выполнения работ</w:t>
            </w:r>
          </w:p>
        </w:tc>
        <w:tc>
          <w:tcPr>
            <w:tcW w:w="2930" w:type="pct"/>
            <w:tcBorders>
              <w:bottom w:val="single" w:color="000000" w:sz="4" w:space="0"/>
            </w:tcBorders>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Территория ИНТЦ «Русский» в соответствии с Постановлением Правительства РФ от 18.11.2020 № 1868 «О создании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6.</w:t>
            </w:r>
          </w:p>
        </w:tc>
        <w:tc>
          <w:tcPr>
            <w:tcW w:w="1793" w:type="pct"/>
            <w:tcBorders>
              <w:bottom w:val="single" w:color="auto"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val="en-US" w:eastAsia="zh-CN"/>
              </w:rPr>
            </w:pPr>
            <w:r>
              <w:rPr>
                <w:rFonts w:eastAsia="Arial Unicode MS"/>
                <w:sz w:val="24"/>
                <w:szCs w:val="24"/>
                <w:lang w:eastAsia="zh-CN"/>
              </w:rPr>
              <w:t>Виды выполняемых работ</w:t>
            </w:r>
            <w:r>
              <w:rPr>
                <w:rFonts w:eastAsia="Arial Unicode MS"/>
                <w:sz w:val="24"/>
                <w:szCs w:val="24"/>
                <w:lang w:val="en-US" w:eastAsia="zh-CN"/>
              </w:rPr>
              <w:t xml:space="preserve"> </w:t>
            </w:r>
          </w:p>
        </w:tc>
        <w:tc>
          <w:tcPr>
            <w:tcW w:w="2930" w:type="pct"/>
            <w:tcBorders>
              <w:bottom w:val="single" w:color="auto" w:sz="4" w:space="0"/>
            </w:tcBorders>
            <w:vAlign w:val="center"/>
          </w:tcPr>
          <w:p>
            <w:pPr>
              <w:pBdr>
                <w:top w:val="none" w:color="000000" w:sz="0" w:space="0"/>
                <w:left w:val="none" w:color="000000" w:sz="0" w:space="0"/>
                <w:bottom w:val="none" w:color="000000" w:sz="0" w:space="0"/>
                <w:right w:val="none" w:color="000000" w:sz="0" w:space="0"/>
              </w:pBdr>
              <w:tabs>
                <w:tab w:val="left" w:pos="4020"/>
              </w:tabs>
              <w:suppressAutoHyphens/>
              <w:jc w:val="both"/>
              <w:rPr>
                <w:rFonts w:hint="default" w:eastAsia="Arial Unicode MS"/>
                <w:sz w:val="24"/>
                <w:szCs w:val="24"/>
                <w:lang w:val="ru-RU" w:eastAsia="en-US"/>
              </w:rPr>
            </w:pPr>
            <w:r>
              <w:rPr>
                <w:rFonts w:hint="default" w:eastAsia="Arial Unicode MS"/>
                <w:sz w:val="24"/>
                <w:szCs w:val="24"/>
                <w:lang w:eastAsia="zh-CN"/>
              </w:rPr>
              <w:t>Выполнение проектной документации для зданий общественных и научно-исследовательских (с комплексами лабораторий, инжиниринговых центров и центров прототипирования), зданий школы, детского сада, поликлиники, гостиниц, административно-офисного центра, административно-бытовых корпусов, сетей и сооружений инженерно-технического обеспечения, объектов транспортной инфраструктуры; а также разработка документации по планировке территории, выполнение комплексных инженерных изысканий, проектов установления границ охранных и санитарных зон, сметная документация</w:t>
            </w:r>
            <w:r>
              <w:rPr>
                <w:rFonts w:hint="default" w:eastAsia="Arial Unicode MS"/>
                <w:sz w:val="24"/>
                <w:szCs w:val="24"/>
                <w:lang w:val="ru-RU" w:eastAsia="zh-CN"/>
              </w:rPr>
              <w:t>.</w:t>
            </w:r>
          </w:p>
        </w:tc>
      </w:tr>
    </w:tbl>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РАЗДЕЛ 7.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7.1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4"/>
          <w:szCs w:val="24"/>
        </w:rPr>
      </w:pPr>
      <w:r>
        <w:rPr>
          <w:sz w:val="24"/>
          <w:szCs w:val="24"/>
        </w:rPr>
        <w:t xml:space="preserve">Настоящим </w:t>
      </w:r>
      <w:r>
        <w:rPr>
          <w:i/>
          <w:sz w:val="24"/>
          <w:szCs w:val="24"/>
        </w:rPr>
        <w:t>(указывается полное наименование участника)</w:t>
      </w:r>
      <w:r>
        <w:rPr>
          <w:sz w:val="24"/>
          <w:szCs w:val="24"/>
        </w:rPr>
        <w:t xml:space="preserve"> подтверждает, что для участия в предварительном квалификационном отборе с целью проведения закупочных процедур для заключения договоров на выполнение </w:t>
      </w:r>
      <w:r>
        <w:rPr>
          <w:rFonts w:eastAsia="Arial Unicode MS"/>
          <w:sz w:val="24"/>
          <w:szCs w:val="24"/>
          <w:lang w:eastAsia="zh-CN"/>
        </w:rPr>
        <w:t>работ по проведению инженерных изысканий и подготовку проектной документации объектов инфраструктуры ИНТЦ «Русский»</w:t>
      </w:r>
      <w:r>
        <w:rPr>
          <w:sz w:val="24"/>
          <w:szCs w:val="24"/>
        </w:rPr>
        <w:t xml:space="preserve">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4"/>
          <w:szCs w:val="24"/>
        </w:rPr>
      </w:pPr>
      <w:r>
        <w:rPr>
          <w:sz w:val="24"/>
          <w:szCs w:val="24"/>
        </w:rPr>
        <w:t xml:space="preserve"> Содержание описи и состав заявки на участие в пред</w:t>
      </w:r>
      <w:r>
        <w:rPr>
          <w:sz w:val="24"/>
          <w:szCs w:val="24"/>
          <w:lang w:val="ru-RU"/>
        </w:rPr>
        <w:t>варительном</w:t>
      </w:r>
      <w:r>
        <w:rPr>
          <w:rFonts w:hint="default"/>
          <w:sz w:val="24"/>
          <w:szCs w:val="24"/>
          <w:lang w:val="ru-RU"/>
        </w:rPr>
        <w:t xml:space="preserve"> </w:t>
      </w:r>
      <w:r>
        <w:rPr>
          <w:sz w:val="24"/>
          <w:szCs w:val="24"/>
        </w:rPr>
        <w:t>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отбора)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7.2.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w:t>
      </w:r>
      <w:r>
        <w:rPr>
          <w:rFonts w:eastAsia="Arial Unicode MS"/>
          <w:sz w:val="22"/>
          <w:szCs w:val="22"/>
          <w:lang w:val="ru-RU" w:eastAsia="zh-CN"/>
        </w:rPr>
        <w:t>варительного</w:t>
      </w:r>
      <w:r>
        <w:rPr>
          <w:rFonts w:hint="default" w:eastAsia="Arial Unicode MS"/>
          <w:sz w:val="22"/>
          <w:szCs w:val="22"/>
          <w:lang w:val="ru-RU" w:eastAsia="zh-CN"/>
        </w:rPr>
        <w:t xml:space="preserve"> </w:t>
      </w:r>
      <w:r>
        <w:rPr>
          <w:rFonts w:eastAsia="Arial Unicode MS"/>
          <w:sz w:val="22"/>
          <w:szCs w:val="22"/>
          <w:lang w:eastAsia="zh-CN"/>
        </w:rPr>
        <w:t>квалификационного отбора:</w:t>
      </w:r>
    </w:p>
    <w:tbl>
      <w:tblPr>
        <w:tblStyle w:val="12"/>
        <w:tblW w:w="4750" w:type="pct"/>
        <w:tblInd w:w="108" w:type="dxa"/>
        <w:tblLayout w:type="fixed"/>
        <w:tblCellMar>
          <w:top w:w="0" w:type="dxa"/>
          <w:left w:w="108" w:type="dxa"/>
          <w:bottom w:w="0" w:type="dxa"/>
          <w:right w:w="108" w:type="dxa"/>
        </w:tblCellMar>
      </w:tblPr>
      <w:tblGrid>
        <w:gridCol w:w="5138"/>
        <w:gridCol w:w="4494"/>
      </w:tblGrid>
      <w:tr>
        <w:tblPrEx>
          <w:tblCellMar>
            <w:top w:w="0" w:type="dxa"/>
            <w:left w:w="108" w:type="dxa"/>
            <w:bottom w:w="0" w:type="dxa"/>
            <w:right w:w="108" w:type="dxa"/>
          </w:tblCellMar>
        </w:tblPrEx>
        <w:trPr>
          <w:trHeight w:val="452" w:hRule="atLeast"/>
        </w:trPr>
        <w:tc>
          <w:tcPr>
            <w:tcW w:w="9423"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r>
              <w:rPr>
                <w:rFonts w:eastAsia="Arial Unicode MS"/>
                <w:sz w:val="22"/>
                <w:szCs w:val="22"/>
                <w:lang w:eastAsia="zh-CN"/>
              </w:rPr>
              <w:t>Основные сведения</w:t>
            </w:r>
          </w:p>
          <w:p>
            <w:pPr>
              <w:widowControl w:val="0"/>
              <w:jc w:val="center"/>
              <w:rPr>
                <w:rFonts w:eastAsia="Arial Unicode MS"/>
                <w:sz w:val="22"/>
                <w:szCs w:val="22"/>
                <w:lang w:eastAsia="zh-CN"/>
              </w:rPr>
            </w:pPr>
            <w:r>
              <w:rPr>
                <w:rFonts w:eastAsia="Arial Unicode MS"/>
                <w:sz w:val="22"/>
                <w:szCs w:val="22"/>
                <w:lang w:eastAsia="zh-CN"/>
              </w:rPr>
              <w:t xml:space="preserve"> </w:t>
            </w:r>
            <w:r>
              <w:rPr>
                <w:rFonts w:eastAsia="Arial Unicode MS"/>
                <w:i/>
                <w:sz w:val="22"/>
                <w:szCs w:val="22"/>
                <w:lang w:eastAsia="zh-CN"/>
              </w:rPr>
              <w:t>(обязательно заполняются участником)</w:t>
            </w:r>
          </w:p>
        </w:tc>
      </w:tr>
      <w:tr>
        <w:tblPrEx>
          <w:tblCellMar>
            <w:top w:w="0" w:type="dxa"/>
            <w:left w:w="108" w:type="dxa"/>
            <w:bottom w:w="0" w:type="dxa"/>
            <w:right w:w="108" w:type="dxa"/>
          </w:tblCellMar>
        </w:tblPrEx>
        <w:trPr>
          <w:trHeight w:val="911"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838"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4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sz w:val="22"/>
                <w:szCs w:val="22"/>
              </w:rPr>
            </w:pPr>
          </w:p>
        </w:tc>
      </w:tr>
      <w:tr>
        <w:tblPrEx>
          <w:tblCellMar>
            <w:top w:w="0" w:type="dxa"/>
            <w:left w:w="108" w:type="dxa"/>
            <w:bottom w:w="0" w:type="dxa"/>
            <w:right w:w="108" w:type="dxa"/>
          </w:tblCellMar>
        </w:tblPrEx>
        <w:trPr>
          <w:trHeight w:val="404"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30"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43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112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104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2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343"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11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4"/>
          <w:szCs w:val="24"/>
          <w:lang w:eastAsia="zh-CN"/>
        </w:rPr>
      </w:pPr>
      <w:r>
        <w:rPr>
          <w:rFonts w:eastAsia="Arial Unicode MS"/>
          <w:sz w:val="24"/>
          <w:szCs w:val="24"/>
          <w:lang w:eastAsia="zh-CN"/>
        </w:rPr>
        <w:t>Изучив в полном объеме Паспорт закупки о проведении предварительного квалификационного отбора,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4"/>
          <w:szCs w:val="24"/>
          <w:lang w:eastAsia="zh-CN"/>
        </w:rPr>
      </w:pPr>
      <w:r>
        <w:rPr>
          <w:rFonts w:eastAsia="Calibri"/>
          <w:sz w:val="24"/>
          <w:szCs w:val="24"/>
          <w:lang w:eastAsia="zh-CN"/>
        </w:rPr>
        <w:tab/>
      </w:r>
      <w:r>
        <w:rPr>
          <w:rFonts w:eastAsia="Calibri"/>
          <w:sz w:val="24"/>
          <w:szCs w:val="24"/>
          <w:lang w:eastAsia="zh-CN"/>
        </w:rPr>
        <w:t>Подтверждаем соответствие требованиям, установленным Паспортом закупки о проведении предварительного квалификационного отбора:</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является правомочным заключать договор;</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организацией, на имущество которой наложен арест по решению суда, административного</w:t>
      </w: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 </w:t>
      </w:r>
      <w:r>
        <w:rPr>
          <w:sz w:val="24"/>
          <w:szCs w:val="24"/>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4"/>
          <w:szCs w:val="24"/>
          <w:lang w:eastAsia="zh-CN"/>
          <w14:textFill>
            <w14:solidFill>
              <w14:schemeClr w14:val="tx1"/>
            </w14:solidFill>
          </w14:textFill>
        </w:rPr>
        <w:t>Отборе</w:t>
      </w:r>
      <w:r>
        <w:rPr>
          <w:sz w:val="24"/>
          <w:szCs w:val="24"/>
        </w:rPr>
        <w:t xml:space="preserve"> не принято);</w:t>
      </w:r>
    </w:p>
    <w:p>
      <w:pPr>
        <w:jc w:val="both"/>
        <w:rPr>
          <w:sz w:val="24"/>
          <w:szCs w:val="24"/>
        </w:rPr>
      </w:pPr>
      <w:r>
        <w:rPr>
          <w:sz w:val="24"/>
          <w:szCs w:val="24"/>
        </w:rPr>
        <w:t xml:space="preserve">- деятельность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приостановлена в порядке, установленном Кодексом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включен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w:t>
      </w:r>
      <w:r>
        <w:rPr>
          <w:sz w:val="24"/>
          <w:szCs w:val="24"/>
        </w:rPr>
        <w:t>;</w:t>
      </w:r>
    </w:p>
    <w:p>
      <w:pPr>
        <w:jc w:val="both"/>
        <w:rPr>
          <w:sz w:val="24"/>
          <w:szCs w:val="24"/>
        </w:rPr>
      </w:pPr>
      <w:r>
        <w:rPr>
          <w:sz w:val="24"/>
          <w:szCs w:val="24"/>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4"/>
          <w:szCs w:val="24"/>
        </w:rPr>
      </w:pPr>
      <w:r>
        <w:rPr>
          <w:rFonts w:eastAsia="Calibri"/>
          <w:sz w:val="24"/>
          <w:szCs w:val="24"/>
          <w:lang w:eastAsia="zh-CN"/>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Между участником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и Заказчиком отсутствует конфликт интересов;</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оффшорной компанией;</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4"/>
          <w:szCs w:val="24"/>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4"/>
          <w:szCs w:val="24"/>
          <w:lang w:eastAsia="zh-CN"/>
        </w:rPr>
      </w:pPr>
      <w:r>
        <w:rPr>
          <w:rFonts w:eastAsia="Calibri"/>
          <w:sz w:val="24"/>
          <w:szCs w:val="24"/>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w:t>
      </w:r>
      <w:r>
        <w:rPr>
          <w:rFonts w:hint="default" w:eastAsia="Calibri"/>
          <w:sz w:val="24"/>
          <w:szCs w:val="24"/>
          <w:lang w:val="ru-RU" w:eastAsia="zh-CN"/>
        </w:rPr>
        <w:t xml:space="preserve"> и индивидуальных предпринимателях </w:t>
      </w:r>
      <w:r>
        <w:rPr>
          <w:rFonts w:eastAsia="Calibri"/>
          <w:sz w:val="24"/>
          <w:szCs w:val="24"/>
          <w:lang w:eastAsia="zh-CN"/>
        </w:rPr>
        <w:t>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4"/>
          <w:szCs w:val="24"/>
          <w:lang w:eastAsia="zh-CN"/>
        </w:rPr>
      </w:pPr>
      <w:r>
        <w:rPr>
          <w:rFonts w:eastAsia="Calibri"/>
          <w:bCs/>
          <w:sz w:val="24"/>
          <w:szCs w:val="24"/>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4"/>
          <w:szCs w:val="24"/>
          <w:vertAlign w:val="superscript"/>
          <w:lang w:eastAsia="zh-CN"/>
        </w:rPr>
      </w:pPr>
      <w:r>
        <w:rPr>
          <w:rFonts w:eastAsia="Calibri"/>
          <w:bCs/>
          <w:sz w:val="24"/>
          <w:szCs w:val="24"/>
          <w:lang w:eastAsia="zh-CN"/>
        </w:rPr>
        <w:t>_______________________________________________________________________</w:t>
      </w:r>
      <w:r>
        <w:rPr>
          <w:rFonts w:eastAsia="Calibri"/>
          <w:bCs/>
          <w:sz w:val="24"/>
          <w:szCs w:val="24"/>
          <w:lang w:eastAsia="zh-CN"/>
        </w:rPr>
        <w:br w:type="textWrapping"/>
      </w:r>
      <w:r>
        <w:rPr>
          <w:rFonts w:eastAsia="Calibri"/>
          <w:bCs/>
          <w:i/>
          <w:sz w:val="24"/>
          <w:szCs w:val="24"/>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Паспорт закупки о проведении пред</w:t>
      </w:r>
      <w:r>
        <w:rPr>
          <w:rFonts w:eastAsia="Calibri"/>
          <w:sz w:val="24"/>
          <w:szCs w:val="24"/>
          <w:lang w:val="ru-RU" w:eastAsia="zh-CN"/>
        </w:rPr>
        <w:t>варительного</w:t>
      </w:r>
      <w:r>
        <w:rPr>
          <w:rFonts w:hint="default" w:eastAsia="Calibri"/>
          <w:sz w:val="24"/>
          <w:szCs w:val="24"/>
          <w:lang w:val="ru-RU" w:eastAsia="zh-CN"/>
        </w:rPr>
        <w:t xml:space="preserve"> </w:t>
      </w:r>
      <w:r>
        <w:rPr>
          <w:rFonts w:eastAsia="Calibri"/>
          <w:sz w:val="24"/>
          <w:szCs w:val="24"/>
          <w:lang w:eastAsia="zh-CN"/>
        </w:rPr>
        <w:t>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4"/>
          <w:szCs w:val="24"/>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7.3.1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800"/>
        <w:gridCol w:w="2492"/>
        <w:gridCol w:w="183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1229"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Регион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000" w:type="pct"/>
            <w:gridSpan w:val="5"/>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sz w:val="22"/>
                <w:szCs w:val="22"/>
                <w:u w:color="FF0000"/>
                <w:lang w:val="en-US" w:eastAsia="zh-CN"/>
              </w:rPr>
            </w:pPr>
            <w:r>
              <w:rPr>
                <w:rFonts w:eastAsia="Arial Unicode MS"/>
                <w:sz w:val="22"/>
                <w:szCs w:val="22"/>
                <w:u w:color="FF0000"/>
                <w:lang w:val="en-US" w:eastAsia="zh-CN"/>
              </w:rPr>
              <w:t>Итого:</w:t>
            </w: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35"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14:textFill>
            <w14:solidFill>
              <w14:schemeClr w14:val="tx1">
                <w14:lumMod w14:val="75000"/>
                <w14:lumOff w14:val="25000"/>
              </w14:schemeClr>
            </w14:solidFill>
          </w14:textFill>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35"/>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360"/>
        <w:contextualSpacing/>
        <w:jc w:val="both"/>
        <w:rPr>
          <w:rFonts w:eastAsia="Arial Unicode MS"/>
          <w:i/>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lang w:eastAsia="zh-CN"/>
        </w:rPr>
      </w:pPr>
      <w:bookmarkStart w:id="36" w:name="_Ref21621146"/>
      <w:r>
        <w:rPr>
          <w:rFonts w:eastAsia="Arial Unicode MS"/>
          <w:b/>
          <w:bCs/>
          <w:sz w:val="22"/>
          <w:szCs w:val="22"/>
          <w:lang w:eastAsia="zh-CN"/>
        </w:rPr>
        <w:t>7.3.2 Справка о релевантном опыте выполнения работ</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sz w:val="22"/>
          <w:szCs w:val="22"/>
          <w:lang w:eastAsia="zh-CN"/>
        </w:rPr>
      </w:pPr>
    </w:p>
    <w:tbl>
      <w:tblPr>
        <w:tblStyle w:val="12"/>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80"/>
        <w:gridCol w:w="3090"/>
        <w:gridCol w:w="146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 п/п</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Номер, дата и</w:t>
            </w:r>
          </w:p>
          <w:p>
            <w:pPr>
              <w:keepNext/>
              <w:keepLines/>
              <w:suppressAutoHyphens/>
              <w:jc w:val="center"/>
              <w:rPr>
                <w:rFonts w:eastAsia="Arial Unicode MS"/>
                <w:b/>
                <w:bCs/>
                <w:sz w:val="22"/>
                <w:szCs w:val="22"/>
                <w:lang w:eastAsia="zh-CN"/>
              </w:rPr>
            </w:pPr>
            <w:r>
              <w:rPr>
                <w:rFonts w:eastAsia="Arial Unicode MS"/>
                <w:b/>
                <w:bCs/>
                <w:sz w:val="22"/>
                <w:szCs w:val="22"/>
                <w:lang w:eastAsia="zh-CN"/>
              </w:rPr>
              <w:t>предмет договора</w:t>
            </w: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Заказчик</w:t>
            </w:r>
          </w:p>
          <w:p>
            <w:pPr>
              <w:keepNext/>
              <w:keepLines/>
              <w:suppressAutoHyphens/>
              <w:jc w:val="center"/>
              <w:rPr>
                <w:rFonts w:eastAsia="Arial Unicode MS"/>
                <w:b/>
                <w:bCs/>
                <w:sz w:val="22"/>
                <w:szCs w:val="22"/>
                <w:lang w:eastAsia="zh-CN"/>
              </w:rPr>
            </w:pPr>
            <w:r>
              <w:rPr>
                <w:rFonts w:eastAsia="Arial Unicode MS"/>
                <w:b/>
                <w:bCs/>
                <w:sz w:val="22"/>
                <w:szCs w:val="22"/>
                <w:lang w:eastAsia="zh-CN"/>
              </w:rPr>
              <w:t>(наименование организации, телефон, Ф.И.О. контактного лица)</w:t>
            </w: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Регион</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выполнения работ (оказания услуг)</w:t>
            </w: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Стоимость</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выполненных работ,</w:t>
            </w:r>
          </w:p>
          <w:p>
            <w:pPr>
              <w:keepNext/>
              <w:keepLines/>
              <w:suppressAutoHyphens/>
              <w:jc w:val="center"/>
              <w:rPr>
                <w:rFonts w:eastAsia="Arial Unicode MS"/>
                <w:b/>
                <w:bCs/>
                <w:sz w:val="22"/>
                <w:szCs w:val="22"/>
                <w:lang w:eastAsia="zh-CN"/>
              </w:rPr>
            </w:pPr>
            <w:r>
              <w:rPr>
                <w:rFonts w:eastAsia="Arial Unicode MS"/>
                <w:b/>
                <w:bCs/>
                <w:sz w:val="22"/>
                <w:szCs w:val="22"/>
                <w:lang w:eastAsia="zh-CN"/>
              </w:rPr>
              <w:t>руб. включая НДС</w:t>
            </w:r>
          </w:p>
          <w:p>
            <w:pPr>
              <w:keepNext/>
              <w:keepLines/>
              <w:suppressAutoHyphens/>
              <w:jc w:val="center"/>
              <w:rPr>
                <w:rFonts w:eastAsia="Arial Unicode MS"/>
                <w:b/>
                <w:bCs/>
                <w:sz w:val="22"/>
                <w:szCs w:val="22"/>
                <w:lang w:eastAsia="zh-CN"/>
              </w:rPr>
            </w:pPr>
            <w:r>
              <w:rPr>
                <w:rFonts w:eastAsia="Arial Unicode MS"/>
                <w:b/>
                <w:bCs/>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на комплексное освоение территорий (проектирование комплексов объектов различного функционального назначения, представленных на одном земельном участке площадью не менее 10 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с применением технологий информационного моделирования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r>
              <w:rPr>
                <w:rFonts w:eastAsia="Arial Unicode MS"/>
                <w:sz w:val="22"/>
                <w:szCs w:val="22"/>
                <w:lang w:eastAsia="zh-CN"/>
              </w:rPr>
              <w:t xml:space="preserve"> </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bookmarkEnd w:id="36"/>
    </w:tbl>
    <w:p>
      <w:pPr>
        <w:widowControl w:val="0"/>
        <w:tabs>
          <w:tab w:val="left" w:pos="-6840"/>
        </w:tabs>
        <w:autoSpaceDE w:val="0"/>
        <w:autoSpaceDN w:val="0"/>
        <w:adjustRightInd w:val="0"/>
        <w:spacing w:after="60"/>
        <w:jc w:val="both"/>
        <w:rPr>
          <w:rFonts w:ascii="Tahoma" w:hAnsi="Tahoma" w:cs="Tahoma"/>
          <w:bCs/>
          <w:iCs/>
        </w:rPr>
      </w:pPr>
    </w:p>
    <w:p>
      <w:pPr>
        <w:rPr>
          <w:rFonts w:eastAsia="Arial Unicode MS"/>
          <w:bCs/>
          <w:i/>
          <w:sz w:val="22"/>
          <w:szCs w:val="22"/>
          <w:highlight w:val="green"/>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rPr>
          <w:b/>
          <w:sz w:val="24"/>
          <w:szCs w:val="24"/>
        </w:rPr>
      </w:pPr>
    </w:p>
    <w:p>
      <w:pPr>
        <w:rPr>
          <w:rFonts w:eastAsia="Arial Unicode MS"/>
          <w:sz w:val="22"/>
          <w:szCs w:val="22"/>
          <w:highlight w:val="yellow"/>
          <w:lang w:eastAsia="zh-CN"/>
        </w:rPr>
      </w:pPr>
      <w:r>
        <w:rPr>
          <w:sz w:val="22"/>
          <w:szCs w:val="22"/>
          <w:highlight w:val="yellow"/>
        </w:rPr>
        <w:t xml:space="preserve">Примечание: </w:t>
      </w:r>
      <w:r>
        <w:rPr>
          <w:rFonts w:eastAsia="Arial Unicode MS"/>
          <w:sz w:val="22"/>
          <w:szCs w:val="22"/>
          <w:highlight w:val="yellow"/>
          <w:lang w:eastAsia="zh-CN"/>
        </w:rPr>
        <w:t>Данная форма заполняется Участником только при наличии соответствующих договоров.</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sectPr>
          <w:pgSz w:w="11906" w:h="16838"/>
          <w:pgMar w:top="1134" w:right="707" w:bottom="1276" w:left="1276" w:header="425" w:footer="301" w:gutter="0"/>
          <w:pgNumType w:fmt="decimal"/>
          <w:cols w:space="708" w:num="1"/>
          <w:titlePg/>
          <w:docGrid w:linePitch="360" w:charSpace="0"/>
        </w:sect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7.4 Форма «Кадровые ресурсы: специалисты»</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p>
    <w:p>
      <w:pPr>
        <w:keepNext/>
        <w:suppressAutoHyphens/>
        <w:rPr>
          <w:sz w:val="22"/>
          <w:szCs w:val="22"/>
        </w:rPr>
      </w:pPr>
      <w:r>
        <w:rPr>
          <w:b/>
          <w:sz w:val="22"/>
          <w:szCs w:val="22"/>
        </w:rPr>
        <w:t>Таблица-1. Квалифицированные кадровые ресурсы</w:t>
      </w:r>
    </w:p>
    <w:tbl>
      <w:tblPr>
        <w:tblStyle w:val="12"/>
        <w:tblW w:w="153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1418"/>
        <w:gridCol w:w="3005"/>
        <w:gridCol w:w="2693"/>
        <w:gridCol w:w="34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eastAsia="en-US"/>
              </w:rPr>
            </w:pPr>
            <w:r>
              <w:rPr>
                <w:b/>
                <w:sz w:val="22"/>
                <w:szCs w:val="22"/>
                <w:lang w:val="en-US" w:eastAsia="en-US"/>
              </w:rPr>
              <w:t>№ п/п</w:t>
            </w:r>
          </w:p>
        </w:tc>
        <w:tc>
          <w:tcPr>
            <w:tcW w:w="184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val="en-US" w:eastAsia="en-US"/>
              </w:rPr>
            </w:pPr>
            <w:r>
              <w:rPr>
                <w:b/>
                <w:sz w:val="22"/>
                <w:szCs w:val="22"/>
                <w:lang w:val="en-US" w:eastAsia="en-US"/>
              </w:rPr>
              <w:t>Ф.И.О.</w:t>
            </w:r>
          </w:p>
        </w:tc>
        <w:tc>
          <w:tcPr>
            <w:tcW w:w="1418"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Наименование занимаемой должности</w:t>
            </w:r>
          </w:p>
        </w:tc>
        <w:tc>
          <w:tcPr>
            <w:tcW w:w="3005"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Специальность по диплому, предусмотренная требованиями документации отбора </w:t>
            </w:r>
          </w:p>
        </w:tc>
        <w:tc>
          <w:tcPr>
            <w:tcW w:w="269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Наименование </w:t>
            </w:r>
          </w:p>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и № документа, подтверждающего трудовые взаимоотношения</w:t>
            </w:r>
          </w:p>
        </w:tc>
        <w:tc>
          <w:tcPr>
            <w:tcW w:w="3402"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Реквизиты документов, подтверждающих квалификацию (наименование учебного заведения, выдавшего документ; номер и дата документа)</w:t>
            </w:r>
          </w:p>
        </w:tc>
        <w:tc>
          <w:tcPr>
            <w:tcW w:w="2410"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Стаж работы по специальности после получения диплома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2</w:t>
            </w: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3</w:t>
            </w: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4</w:t>
            </w: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5</w:t>
            </w: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6</w:t>
            </w: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w:t>
            </w:r>
          </w:p>
        </w:tc>
        <w:tc>
          <w:tcPr>
            <w:tcW w:w="14771" w:type="dxa"/>
            <w:gridSpan w:val="6"/>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территориального планирования и планировки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разработки проектной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rFonts w:hint="default"/>
                <w:sz w:val="22"/>
                <w:szCs w:val="22"/>
                <w:lang w:val="ru-RU" w:eastAsia="en-US"/>
              </w:rPr>
            </w:pPr>
            <w:r>
              <w:rPr>
                <w:sz w:val="22"/>
                <w:szCs w:val="22"/>
                <w:lang w:val="ru-RU" w:eastAsia="en-US"/>
              </w:rPr>
              <w:t>Прочие</w:t>
            </w:r>
            <w:r>
              <w:rPr>
                <w:rFonts w:hint="default"/>
                <w:sz w:val="22"/>
                <w:szCs w:val="22"/>
                <w:lang w:val="ru-RU" w:eastAsia="en-US"/>
              </w:rPr>
              <w:t xml:space="preserve"> специалисты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bl>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highlight w:val="yellow"/>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В подтверждение наличия предлагаемых для выполнения работ работников с профильным образованием, соответствующей квалификации, участники отбора представляют копии документов</w:t>
      </w:r>
      <w:r>
        <w:rPr>
          <w:rFonts w:eastAsia="Arial Unicode MS"/>
          <w:i/>
          <w:sz w:val="22"/>
          <w:szCs w:val="22"/>
          <w:highlight w:val="yellow"/>
          <w:lang w:eastAsia="zh-CN"/>
        </w:rPr>
        <w:t xml:space="preserve"> </w:t>
      </w:r>
      <w:r>
        <w:rPr>
          <w:rFonts w:eastAsia="Arial Unicode MS"/>
          <w:i/>
          <w:iCs/>
          <w:sz w:val="22"/>
          <w:szCs w:val="22"/>
          <w:highlight w:val="yellow"/>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eastAsia="Arial Unicode MS"/>
          <w:i/>
          <w:sz w:val="22"/>
          <w:szCs w:val="22"/>
          <w:highlight w:val="yellow"/>
          <w:lang w:eastAsia="zh-CN"/>
        </w:rPr>
        <w:t xml:space="preserve"> </w:t>
      </w:r>
      <w:r>
        <w:rPr>
          <w:rFonts w:eastAsia="Arial Unicode MS"/>
          <w:i/>
          <w:iCs/>
          <w:sz w:val="22"/>
          <w:szCs w:val="22"/>
          <w:highlight w:val="yellow"/>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i/>
          <w:iCs/>
          <w:sz w:val="22"/>
          <w:szCs w:val="22"/>
          <w:lang w:eastAsia="en-US"/>
        </w:rPr>
        <w:t xml:space="preserve">При этом не менее </w:t>
      </w:r>
      <w:r>
        <w:rPr>
          <w:rFonts w:hint="default" w:eastAsia="Arial Unicode MS"/>
          <w:i/>
          <w:iCs/>
          <w:sz w:val="22"/>
          <w:szCs w:val="22"/>
          <w:lang w:val="ru-RU" w:eastAsia="en-US"/>
        </w:rPr>
        <w:t>20</w:t>
      </w:r>
      <w:r>
        <w:rPr>
          <w:rFonts w:eastAsia="Arial Unicode MS"/>
          <w:i/>
          <w:iCs/>
          <w:sz w:val="22"/>
          <w:szCs w:val="22"/>
          <w:lang w:eastAsia="en-US"/>
        </w:rPr>
        <w:t xml:space="preserve"> человек из числа  специалистов в области разработки проектной документации должны быть включены в реестр специалистов Национального объединения изыскателей и проектировщиков (НОПРИЗ).</w:t>
      </w:r>
    </w:p>
    <w:p>
      <w:pPr>
        <w:rPr>
          <w:rFonts w:eastAsia="Arial Unicode MS"/>
          <w:i/>
          <w:iCs/>
          <w:sz w:val="22"/>
          <w:szCs w:val="22"/>
          <w:lang w:eastAsia="en-US"/>
        </w:rPr>
      </w:pPr>
      <w:r>
        <w:rPr>
          <w:rFonts w:eastAsia="Arial Unicode MS"/>
          <w:i/>
          <w:iCs/>
          <w:sz w:val="22"/>
          <w:szCs w:val="22"/>
          <w:lang w:eastAsia="en-US"/>
        </w:rPr>
        <w:br w:type="page"/>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suppressAutoHyphens/>
        <w:rPr>
          <w:b/>
          <w:sz w:val="22"/>
          <w:szCs w:val="22"/>
        </w:rPr>
      </w:pPr>
      <w:r>
        <w:rPr>
          <w:b/>
          <w:sz w:val="22"/>
          <w:szCs w:val="22"/>
        </w:rPr>
        <w:t>Таблица-2. Общая штатная численность персонала</w:t>
      </w:r>
    </w:p>
    <w:tbl>
      <w:tblPr>
        <w:tblStyle w:val="1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87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restart"/>
            <w:tcBorders>
              <w:top w:val="single" w:color="auto" w:sz="4" w:space="0"/>
              <w:left w:val="single" w:color="auto" w:sz="4" w:space="0"/>
              <w:right w:val="single" w:color="auto" w:sz="4" w:space="0"/>
            </w:tcBorders>
          </w:tcPr>
          <w:p>
            <w:pPr>
              <w:pStyle w:val="365"/>
              <w:rPr>
                <w:szCs w:val="22"/>
              </w:rPr>
            </w:pPr>
          </w:p>
        </w:tc>
        <w:tc>
          <w:tcPr>
            <w:tcW w:w="5842" w:type="dxa"/>
            <w:gridSpan w:val="3"/>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continue"/>
            <w:tcBorders>
              <w:left w:val="single" w:color="auto" w:sz="4" w:space="0"/>
              <w:bottom w:val="single" w:color="auto" w:sz="4" w:space="0"/>
              <w:right w:val="single" w:color="auto" w:sz="4" w:space="0"/>
            </w:tcBorders>
          </w:tcPr>
          <w:p>
            <w:pPr>
              <w:pStyle w:val="365"/>
              <w:rPr>
                <w:szCs w:val="22"/>
              </w:rPr>
            </w:pPr>
          </w:p>
        </w:tc>
        <w:tc>
          <w:tcPr>
            <w:tcW w:w="1873"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w:t>
            </w:r>
            <w:r>
              <w:rPr>
                <w:rFonts w:hint="default"/>
                <w:b/>
                <w:bCs/>
                <w:szCs w:val="22"/>
                <w:lang w:val="ru-RU"/>
              </w:rPr>
              <w:t>20</w:t>
            </w:r>
            <w:r>
              <w:rPr>
                <w:b/>
                <w:bCs/>
                <w:szCs w:val="22"/>
              </w:rPr>
              <w:t xml:space="preserve"> год</w:t>
            </w:r>
          </w:p>
        </w:tc>
        <w:tc>
          <w:tcPr>
            <w:tcW w:w="1984"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1</w:t>
            </w:r>
            <w:r>
              <w:rPr>
                <w:b/>
                <w:bCs/>
                <w:szCs w:val="22"/>
              </w:rPr>
              <w:t xml:space="preserve"> год</w:t>
            </w:r>
          </w:p>
        </w:tc>
        <w:tc>
          <w:tcPr>
            <w:tcW w:w="1985"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2</w:t>
            </w:r>
            <w:r>
              <w:rPr>
                <w:b/>
                <w:bCs/>
                <w:szCs w:val="22"/>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365"/>
              <w:rPr>
                <w:szCs w:val="22"/>
              </w:rPr>
            </w:pPr>
            <w:r>
              <w:rPr>
                <w:szCs w:val="22"/>
              </w:rPr>
              <w:t>Группа специалистов</w:t>
            </w:r>
          </w:p>
        </w:tc>
        <w:tc>
          <w:tcPr>
            <w:tcW w:w="1873"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4"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5" w:type="dxa"/>
            <w:tcBorders>
              <w:top w:val="single" w:color="auto" w:sz="4" w:space="0"/>
              <w:left w:val="single" w:color="auto" w:sz="4" w:space="0"/>
              <w:bottom w:val="single" w:color="auto" w:sz="4" w:space="0"/>
              <w:right w:val="single" w:color="auto" w:sz="4" w:space="0"/>
            </w:tcBorders>
          </w:tcPr>
          <w:p>
            <w:pPr>
              <w:pStyle w:val="365"/>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Руководящий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Инженерно-технический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Рабочие и вспомогательный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b/>
                <w:sz w:val="22"/>
                <w:szCs w:val="22"/>
              </w:rPr>
            </w:pPr>
            <w:r>
              <w:rPr>
                <w:b/>
                <w:sz w:val="22"/>
                <w:szCs w:val="22"/>
              </w:rPr>
              <w:t>Итого:</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bl>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 xml:space="preserve">В подтверждение штатной численности, участники отбора представляют копии документов  по форме, утвержденной Приказом ФНС РФ от 29.03.2007 № ММ-3-25/174@  </w:t>
      </w:r>
      <w:r>
        <w:rPr>
          <w:rFonts w:eastAsia="Arial Unicode MS"/>
          <w:b/>
          <w:i/>
          <w:iCs/>
          <w:sz w:val="22"/>
          <w:szCs w:val="22"/>
          <w:highlight w:val="yellow"/>
          <w:lang w:eastAsia="en-US"/>
        </w:rPr>
        <w:t>и/или</w:t>
      </w:r>
      <w:r>
        <w:rPr>
          <w:rFonts w:eastAsia="Arial Unicode MS"/>
          <w:i/>
          <w:iCs/>
          <w:sz w:val="22"/>
          <w:szCs w:val="22"/>
          <w:highlight w:val="yellow"/>
          <w:lang w:eastAsia="en-US"/>
        </w:rPr>
        <w:t xml:space="preserve"> по форме, утвержденной Приказом ФНС России от 06.10.2021 N ЕД-7-11/875@. Сведения за 2021 год предоставляются по форме, утвержденной Приказом ФНС России от 06.10.2021 N ЕД-7-11/875@ на последнюю отчетную дату.</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sz w:val="22"/>
          <w:szCs w:val="22"/>
          <w:lang w:eastAsia="zh-CN"/>
        </w:rPr>
        <w:sectPr>
          <w:pgSz w:w="16838" w:h="11906" w:orient="landscape"/>
          <w:pgMar w:top="1276" w:right="567" w:bottom="709" w:left="851" w:header="425" w:footer="301" w:gutter="0"/>
          <w:pgNumType w:fmt="decimal"/>
          <w:cols w:space="708" w:num="1"/>
          <w:titlePg/>
          <w:docGrid w:linePitch="360" w:charSpace="0"/>
        </w:sectPr>
      </w:pPr>
    </w:p>
    <w:p>
      <w:pPr>
        <w:tabs>
          <w:tab w:val="left" w:pos="284"/>
          <w:tab w:val="left" w:pos="567"/>
          <w:tab w:val="left" w:pos="709"/>
          <w:tab w:val="right" w:leader="dot" w:pos="9356"/>
        </w:tabs>
        <w:ind w:left="0" w:leftChars="0" w:firstLine="0" w:firstLineChars="0"/>
        <w:jc w:val="center"/>
        <w:rPr>
          <w:b/>
          <w:sz w:val="24"/>
          <w:szCs w:val="24"/>
        </w:rPr>
      </w:pPr>
      <w:r>
        <w:rPr>
          <w:rFonts w:hint="default"/>
          <w:b/>
          <w:sz w:val="24"/>
          <w:szCs w:val="24"/>
        </w:rPr>
        <w:t>7.4</w:t>
      </w:r>
      <w:r>
        <w:rPr>
          <w:rFonts w:hint="default"/>
          <w:b/>
          <w:sz w:val="24"/>
          <w:szCs w:val="24"/>
          <w:lang w:val="ru-RU"/>
        </w:rPr>
        <w:t xml:space="preserve">.1. </w:t>
      </w:r>
      <w:r>
        <w:rPr>
          <w:rFonts w:hint="default"/>
          <w:b/>
          <w:sz w:val="24"/>
          <w:szCs w:val="24"/>
        </w:rPr>
        <w:t xml:space="preserve"> Форма «</w:t>
      </w:r>
      <w:r>
        <w:rPr>
          <w:b/>
          <w:sz w:val="24"/>
          <w:szCs w:val="24"/>
        </w:rPr>
        <w:t>Письмо о передаче персональных данных сотрудников</w:t>
      </w:r>
      <w:r>
        <w:rPr>
          <w:rFonts w:hint="default"/>
          <w:b/>
          <w:sz w:val="24"/>
          <w:szCs w:val="24"/>
        </w:rPr>
        <w:t>»</w:t>
      </w:r>
    </w:p>
    <w:p>
      <w:pPr>
        <w:tabs>
          <w:tab w:val="left" w:pos="284"/>
          <w:tab w:val="left" w:pos="567"/>
          <w:tab w:val="left" w:pos="709"/>
          <w:tab w:val="right" w:leader="dot" w:pos="9356"/>
        </w:tabs>
        <w:ind w:firstLine="567"/>
        <w:jc w:val="center"/>
        <w:rPr>
          <w:b/>
          <w:sz w:val="28"/>
          <w:szCs w:val="28"/>
        </w:rPr>
      </w:pPr>
    </w:p>
    <w:p>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pPr>
        <w:tabs>
          <w:tab w:val="left" w:pos="284"/>
          <w:tab w:val="left" w:pos="567"/>
          <w:tab w:val="left" w:pos="709"/>
          <w:tab w:val="right" w:leader="dot" w:pos="9356"/>
        </w:tabs>
        <w:ind w:firstLine="567"/>
        <w:jc w:val="center"/>
        <w:rPr>
          <w:b/>
          <w:i/>
          <w:sz w:val="24"/>
          <w:szCs w:val="24"/>
        </w:rPr>
      </w:pPr>
    </w:p>
    <w:p>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pPr>
        <w:rPr>
          <w:sz w:val="24"/>
          <w:szCs w:val="24"/>
        </w:rPr>
      </w:pPr>
      <w:r>
        <w:rPr>
          <w:sz w:val="24"/>
          <w:szCs w:val="24"/>
        </w:rPr>
        <w:t>________________________________________________________________________________,</w:t>
      </w:r>
    </w:p>
    <w:p>
      <w:pPr>
        <w:jc w:val="center"/>
        <w:rPr>
          <w:i/>
          <w:sz w:val="24"/>
          <w:szCs w:val="24"/>
          <w:vertAlign w:val="superscript"/>
        </w:rPr>
      </w:pPr>
      <w:r>
        <w:rPr>
          <w:i/>
          <w:sz w:val="24"/>
          <w:szCs w:val="24"/>
          <w:vertAlign w:val="superscript"/>
        </w:rPr>
        <w:t>(название квалификационного отбора)</w:t>
      </w:r>
    </w:p>
    <w:p>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pPr>
        <w:ind w:firstLine="709"/>
        <w:jc w:val="both"/>
        <w:rPr>
          <w:sz w:val="24"/>
          <w:szCs w:val="24"/>
        </w:rPr>
      </w:pPr>
    </w:p>
    <w:p>
      <w:pPr>
        <w:ind w:firstLine="709"/>
        <w:jc w:val="both"/>
        <w:rPr>
          <w:sz w:val="24"/>
          <w:szCs w:val="24"/>
        </w:rPr>
      </w:pPr>
    </w:p>
    <w:tbl>
      <w:tblPr>
        <w:tblStyle w:val="12"/>
        <w:tblW w:w="5243" w:type="pct"/>
        <w:tblInd w:w="-252" w:type="dxa"/>
        <w:tblLayout w:type="autofit"/>
        <w:tblCellMar>
          <w:top w:w="0" w:type="dxa"/>
          <w:left w:w="108" w:type="dxa"/>
          <w:bottom w:w="0" w:type="dxa"/>
          <w:right w:w="108" w:type="dxa"/>
        </w:tblCellMar>
      </w:tblPr>
      <w:tblGrid>
        <w:gridCol w:w="5018"/>
        <w:gridCol w:w="5018"/>
      </w:tblGrid>
      <w:tr>
        <w:tblPrEx>
          <w:tblCellMar>
            <w:top w:w="0" w:type="dxa"/>
            <w:left w:w="108" w:type="dxa"/>
            <w:bottom w:w="0" w:type="dxa"/>
            <w:right w:w="108" w:type="dxa"/>
          </w:tblCellMar>
        </w:tblPrEx>
        <w:tc>
          <w:tcPr>
            <w:tcW w:w="2500" w:type="pct"/>
          </w:tcPr>
          <w:p>
            <w:pPr>
              <w:jc w:val="center"/>
              <w:rPr>
                <w:sz w:val="24"/>
                <w:szCs w:val="24"/>
              </w:rPr>
            </w:pPr>
            <w:r>
              <w:rPr>
                <w:sz w:val="24"/>
                <w:szCs w:val="24"/>
              </w:rPr>
              <w:t>_________________________________</w:t>
            </w:r>
          </w:p>
          <w:p>
            <w:pPr>
              <w:tabs>
                <w:tab w:val="center" w:pos="4677"/>
                <w:tab w:val="right" w:pos="9355"/>
              </w:tabs>
              <w:jc w:val="center"/>
              <w:rPr>
                <w:sz w:val="24"/>
                <w:szCs w:val="24"/>
              </w:rPr>
            </w:pPr>
            <w:r>
              <w:rPr>
                <w:sz w:val="24"/>
                <w:szCs w:val="24"/>
              </w:rPr>
              <w:t>(Ф.И.О. подписавшего заявку)</w:t>
            </w:r>
          </w:p>
          <w:p>
            <w:pPr>
              <w:jc w:val="center"/>
              <w:rPr>
                <w:sz w:val="24"/>
                <w:szCs w:val="24"/>
              </w:rPr>
            </w:pPr>
            <w:r>
              <w:rPr>
                <w:sz w:val="24"/>
                <w:szCs w:val="24"/>
              </w:rPr>
              <w:t>_______________________________</w:t>
            </w:r>
          </w:p>
          <w:p>
            <w:pPr>
              <w:jc w:val="center"/>
              <w:rPr>
                <w:sz w:val="24"/>
                <w:szCs w:val="24"/>
              </w:rPr>
            </w:pPr>
            <w:r>
              <w:rPr>
                <w:sz w:val="24"/>
                <w:szCs w:val="24"/>
              </w:rPr>
              <w:t>(должность)</w:t>
            </w:r>
          </w:p>
        </w:tc>
        <w:tc>
          <w:tcPr>
            <w:tcW w:w="2500" w:type="pct"/>
          </w:tcPr>
          <w:p>
            <w:pPr>
              <w:jc w:val="center"/>
              <w:rPr>
                <w:sz w:val="24"/>
                <w:szCs w:val="24"/>
              </w:rPr>
            </w:pPr>
            <w:r>
              <w:rPr>
                <w:sz w:val="24"/>
                <w:szCs w:val="24"/>
              </w:rPr>
              <w:t>___________________________</w:t>
            </w:r>
          </w:p>
          <w:p>
            <w:pPr>
              <w:jc w:val="center"/>
              <w:rPr>
                <w:sz w:val="24"/>
                <w:szCs w:val="24"/>
              </w:rPr>
            </w:pPr>
            <w:r>
              <w:rPr>
                <w:sz w:val="24"/>
                <w:szCs w:val="24"/>
              </w:rPr>
              <w:t>(подпись)</w:t>
            </w:r>
          </w:p>
          <w:p>
            <w:pPr>
              <w:jc w:val="center"/>
              <w:rPr>
                <w:sz w:val="24"/>
                <w:szCs w:val="24"/>
              </w:rPr>
            </w:pPr>
          </w:p>
          <w:p>
            <w:pPr>
              <w:jc w:val="center"/>
              <w:rPr>
                <w:sz w:val="24"/>
                <w:szCs w:val="24"/>
              </w:rPr>
            </w:pPr>
            <w:r>
              <w:rPr>
                <w:sz w:val="24"/>
                <w:szCs w:val="24"/>
              </w:rPr>
              <w:t>М.П.</w:t>
            </w:r>
          </w:p>
          <w:p>
            <w:pPr>
              <w:jc w:val="center"/>
              <w:rPr>
                <w:sz w:val="24"/>
                <w:szCs w:val="24"/>
              </w:rPr>
            </w:pPr>
          </w:p>
        </w:tc>
      </w:tr>
    </w:tbl>
    <w:p>
      <w:pPr>
        <w:tabs>
          <w:tab w:val="left" w:pos="0"/>
        </w:tabs>
        <w:autoSpaceDE w:val="0"/>
        <w:autoSpaceDN w:val="0"/>
        <w:adjustRightInd w:val="0"/>
        <w:ind w:firstLine="709"/>
        <w:jc w:val="right"/>
        <w:rPr>
          <w:b/>
          <w:sz w:val="24"/>
          <w:szCs w:val="24"/>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b/>
          <w:sz w:val="24"/>
          <w:szCs w:val="24"/>
        </w:rPr>
        <w:br w:type="column"/>
      </w:r>
    </w:p>
    <w:p>
      <w:pPr>
        <w:tabs>
          <w:tab w:val="left" w:pos="0"/>
        </w:tabs>
        <w:wordWrap/>
        <w:autoSpaceDE w:val="0"/>
        <w:autoSpaceDN w:val="0"/>
        <w:adjustRightInd w:val="0"/>
        <w:ind w:firstLine="709"/>
        <w:jc w:val="center"/>
        <w:rPr>
          <w:b/>
          <w:sz w:val="24"/>
          <w:szCs w:val="24"/>
        </w:rPr>
      </w:pPr>
      <w:r>
        <w:rPr>
          <w:rFonts w:hint="default"/>
          <w:b/>
          <w:sz w:val="24"/>
          <w:szCs w:val="24"/>
        </w:rPr>
        <w:t>7.4.</w:t>
      </w:r>
      <w:r>
        <w:rPr>
          <w:rFonts w:hint="default"/>
          <w:b/>
          <w:sz w:val="24"/>
          <w:szCs w:val="24"/>
          <w:lang w:val="ru-RU"/>
        </w:rPr>
        <w:t>2</w:t>
      </w:r>
      <w:r>
        <w:rPr>
          <w:rFonts w:hint="default"/>
          <w:b/>
          <w:sz w:val="24"/>
          <w:szCs w:val="24"/>
        </w:rPr>
        <w:t>.  Форма «Согласие</w:t>
      </w:r>
      <w:r>
        <w:rPr>
          <w:rFonts w:hint="default"/>
          <w:b/>
          <w:sz w:val="24"/>
          <w:szCs w:val="24"/>
          <w:lang w:val="ru-RU"/>
        </w:rPr>
        <w:t xml:space="preserve"> </w:t>
      </w:r>
      <w:r>
        <w:rPr>
          <w:rFonts w:hint="default"/>
          <w:b/>
          <w:sz w:val="24"/>
          <w:szCs w:val="24"/>
        </w:rPr>
        <w:t>на обработку персональных данных»</w:t>
      </w:r>
    </w:p>
    <w:p>
      <w:pPr>
        <w:pStyle w:val="364"/>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pPr>
        <w:pStyle w:val="364"/>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pPr>
        <w:pStyle w:val="364"/>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pPr>
        <w:pStyle w:val="36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pPr>
        <w:pStyle w:val="364"/>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pPr>
        <w:pStyle w:val="364"/>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pPr>
        <w:pStyle w:val="364"/>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pPr>
        <w:pStyle w:val="36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r>
        <w:fldChar w:fldCharType="begin"/>
      </w:r>
      <w:r>
        <w:instrText xml:space="preserve"> HYPERLINK "consultantplus://offline/ref=17988F87C3570C981116F67DAA550493ECC2220F040EBD13E98B51C68EEEDCA86A1F6203C09EEB0E752E5EE810CCF732076CEE8A994E75F8R6s6M" </w:instrText>
      </w:r>
      <w:r>
        <w:fldChar w:fldCharType="separate"/>
      </w:r>
      <w:r>
        <w:rPr>
          <w:rStyle w:val="18"/>
          <w:rFonts w:ascii="Times New Roman" w:hAnsi="Times New Roman"/>
          <w:color w:val="000000"/>
          <w:sz w:val="24"/>
          <w:szCs w:val="24"/>
        </w:rPr>
        <w:t>пунктом 4 статьи 9</w:t>
      </w:r>
      <w:r>
        <w:rPr>
          <w:rStyle w:val="18"/>
          <w:rFonts w:ascii="Times New Roman" w:hAnsi="Times New Roman"/>
          <w:color w:val="000000"/>
          <w:sz w:val="24"/>
          <w:szCs w:val="24"/>
        </w:rPr>
        <w:fldChar w:fldCharType="end"/>
      </w:r>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_______________________________________________________________________________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на участие в которой подается настоящее Согласие)</w:t>
      </w:r>
    </w:p>
    <w:p>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pPr>
        <w:pStyle w:val="364"/>
        <w:ind w:firstLine="708"/>
        <w:jc w:val="both"/>
        <w:rPr>
          <w:rFonts w:ascii="Times New Roman" w:hAnsi="Times New Roman" w:cs="Times New Roman"/>
          <w:sz w:val="24"/>
          <w:szCs w:val="24"/>
        </w:rPr>
      </w:pP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Настоящее согласие действует в течение срока, на который проводится квалификационный отбор и который указан в Разделе 2 Паспорта закупки.</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 ______________ 202__ г.</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(Ф.И.О.)</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rFonts w:eastAsia="Arial Unicode MS"/>
          <w:bCs/>
          <w:i/>
          <w:color w:val="000000"/>
          <w:sz w:val="22"/>
          <w:szCs w:val="22"/>
          <w:lang w:eastAsia="zh-CN"/>
        </w:rPr>
        <w:br w:type="page"/>
      </w:r>
    </w:p>
    <w:p>
      <w:pPr>
        <w:jc w:val="center"/>
        <w:rPr>
          <w:rFonts w:eastAsia="Arial Unicode MS"/>
          <w:b/>
          <w:sz w:val="22"/>
          <w:szCs w:val="22"/>
          <w:lang w:eastAsia="zh-CN"/>
        </w:rPr>
      </w:pPr>
      <w:r>
        <w:rPr>
          <w:rFonts w:eastAsia="Arial Unicode MS"/>
          <w:b/>
          <w:color w:val="000000"/>
          <w:sz w:val="22"/>
          <w:szCs w:val="22"/>
          <w:lang w:eastAsia="zh-CN"/>
        </w:rPr>
        <w:t>7.</w:t>
      </w:r>
      <w:r>
        <w:rPr>
          <w:rFonts w:hint="default" w:eastAsia="Arial Unicode MS"/>
          <w:b/>
          <w:color w:val="000000"/>
          <w:sz w:val="22"/>
          <w:szCs w:val="22"/>
          <w:lang w:val="ru-RU" w:eastAsia="zh-CN"/>
        </w:rPr>
        <w:t>5</w:t>
      </w:r>
      <w:r>
        <w:rPr>
          <w:rFonts w:eastAsia="Arial Unicode MS"/>
          <w:b/>
          <w:color w:val="000000"/>
          <w:sz w:val="22"/>
          <w:szCs w:val="22"/>
          <w:lang w:eastAsia="zh-CN"/>
        </w:rPr>
        <w:t xml:space="preserve"> Форма «</w:t>
      </w:r>
      <w:r>
        <w:rPr>
          <w:rFonts w:eastAsia="Arial Unicode MS"/>
          <w:b/>
          <w:sz w:val="22"/>
          <w:szCs w:val="22"/>
          <w:lang w:eastAsia="zh-CN"/>
        </w:rPr>
        <w:t>Наличие специализированных (прикладных) программных комплексов по проектно-исследовательским работам»</w:t>
      </w:r>
    </w:p>
    <w:p>
      <w:pPr>
        <w:pBdr>
          <w:top w:val="none" w:color="000000" w:sz="0" w:space="0"/>
          <w:left w:val="none" w:color="000000" w:sz="0" w:space="0"/>
          <w:bottom w:val="none" w:color="000000" w:sz="0" w:space="0"/>
          <w:right w:val="none" w:color="000000" w:sz="0" w:space="0"/>
        </w:pBdr>
        <w:suppressAutoHyphens/>
        <w:ind w:left="360"/>
        <w:jc w:val="center"/>
        <w:rPr>
          <w:rFonts w:eastAsia="Arial Unicode MS"/>
          <w:sz w:val="22"/>
          <w:szCs w:val="22"/>
          <w:lang w:eastAsia="zh-CN"/>
        </w:rPr>
      </w:pPr>
    </w:p>
    <w:tbl>
      <w:tblPr>
        <w:tblStyle w:val="3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4587"/>
        <w:gridCol w:w="1864"/>
        <w:gridCol w:w="120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4587"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Назначение программного комплекса</w:t>
            </w:r>
          </w:p>
        </w:tc>
        <w:tc>
          <w:tcPr>
            <w:tcW w:w="1864"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Название программного комплекса</w:t>
            </w:r>
          </w:p>
        </w:tc>
        <w:tc>
          <w:tcPr>
            <w:tcW w:w="1203"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val="en-US" w:eastAsia="zh-CN"/>
              </w:rPr>
            </w:pPr>
            <w:r>
              <w:rPr>
                <w:rFonts w:eastAsia="Arial Unicode MS"/>
                <w:b/>
                <w:color w:val="000000"/>
                <w:sz w:val="22"/>
                <w:szCs w:val="22"/>
                <w:lang w:eastAsia="zh-CN"/>
              </w:rPr>
              <w:t>Наличие лицензии</w:t>
            </w:r>
          </w:p>
        </w:tc>
        <w:tc>
          <w:tcPr>
            <w:tcW w:w="1160"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Срок действия лицензии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1</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w:t>
            </w:r>
            <w:r>
              <w:rPr>
                <w:rFonts w:eastAsia="Arial Unicode MS"/>
                <w:color w:val="000000"/>
                <w:sz w:val="22"/>
                <w:szCs w:val="22"/>
                <w:lang w:val="en-US" w:eastAsia="zh-CN"/>
              </w:rPr>
              <w:t>AutoCad</w:t>
            </w:r>
            <w:r>
              <w:rPr>
                <w:rFonts w:eastAsia="Arial Unicode MS"/>
                <w:color w:val="000000"/>
                <w:sz w:val="22"/>
                <w:szCs w:val="22"/>
                <w:lang w:eastAsia="zh-CN"/>
              </w:rPr>
              <w:t>» 2002 – 2020 (или аналогичной программы, обеспечивающей графическое представление проектных решений и результатов инженерных изысканий)</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2</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i/>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______________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spacing w:after="200" w:line="276" w:lineRule="auto"/>
        <w:rPr>
          <w:rFonts w:eastAsia="Arial Unicode MS"/>
          <w:i/>
          <w:sz w:val="22"/>
          <w:szCs w:val="22"/>
          <w:lang w:eastAsia="zh-CN"/>
        </w:rPr>
      </w:pPr>
    </w:p>
    <w:p>
      <w:pPr>
        <w:jc w:val="both"/>
        <w:rPr>
          <w:rFonts w:eastAsia="Arial Unicode MS"/>
          <w:i/>
          <w:sz w:val="22"/>
          <w:szCs w:val="22"/>
          <w:highlight w:val="green"/>
          <w:lang w:eastAsia="en-US"/>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i/>
          <w:sz w:val="22"/>
          <w:szCs w:val="22"/>
          <w:lang w:eastAsia="en-US"/>
        </w:rPr>
        <w:t>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w:t>
      </w:r>
      <w:r>
        <w:rPr>
          <w:rFonts w:eastAsia="Arial Unicode MS"/>
          <w:i/>
          <w:color w:val="auto"/>
          <w:sz w:val="22"/>
          <w:szCs w:val="22"/>
          <w:highlight w:val="none"/>
          <w:lang w:eastAsia="en-US"/>
        </w:rPr>
        <w:t>ания срока подачи заявок на участие в отборе. Не менее одной лицензии на каждую позицию. В случае использования бесплатных программных продуктов прилагается письмо об их использовании.</w:t>
      </w:r>
    </w:p>
    <w:p>
      <w:pPr>
        <w:jc w:val="right"/>
        <w:rPr>
          <w:b/>
          <w:sz w:val="24"/>
          <w:szCs w:val="24"/>
        </w:rPr>
      </w:pPr>
    </w:p>
    <w:p>
      <w:pPr>
        <w:rPr>
          <w:rFonts w:eastAsia="Arial Unicode MS"/>
          <w:bCs/>
          <w:i/>
          <w:color w:val="000000"/>
          <w:sz w:val="22"/>
          <w:szCs w:val="22"/>
          <w:lang w:eastAsia="zh-CN"/>
        </w:rPr>
      </w:pPr>
      <w:r>
        <w:rPr>
          <w:rFonts w:eastAsia="Arial Unicode MS"/>
          <w:bCs/>
          <w:i/>
          <w:color w:val="000000"/>
          <w:sz w:val="22"/>
          <w:szCs w:val="22"/>
          <w:lang w:eastAsia="zh-CN"/>
        </w:rPr>
        <w:br w:type="page"/>
      </w:r>
    </w:p>
    <w:p>
      <w:pPr>
        <w:rPr>
          <w:rFonts w:eastAsia="Arial Unicode MS"/>
          <w:bCs/>
          <w:i/>
          <w:color w:val="000000"/>
          <w:sz w:val="22"/>
          <w:szCs w:val="22"/>
          <w:lang w:eastAsia="zh-CN"/>
        </w:rPr>
      </w:pPr>
    </w:p>
    <w:p>
      <w:pPr>
        <w:suppressAutoHyphens/>
        <w:jc w:val="center"/>
        <w:rPr>
          <w:b/>
          <w:sz w:val="22"/>
          <w:szCs w:val="22"/>
        </w:rPr>
      </w:pPr>
    </w:p>
    <w:p>
      <w:pPr>
        <w:suppressAutoHyphens/>
        <w:jc w:val="center"/>
        <w:rPr>
          <w:b/>
          <w:sz w:val="22"/>
          <w:szCs w:val="22"/>
        </w:rPr>
      </w:pPr>
      <w:r>
        <w:rPr>
          <w:b/>
          <w:sz w:val="22"/>
          <w:szCs w:val="22"/>
        </w:rPr>
        <w:t>7.</w:t>
      </w:r>
      <w:r>
        <w:rPr>
          <w:rFonts w:hint="default"/>
          <w:b/>
          <w:sz w:val="22"/>
          <w:szCs w:val="22"/>
          <w:lang w:val="ru-RU"/>
        </w:rPr>
        <w:t>6</w:t>
      </w:r>
      <w:r>
        <w:rPr>
          <w:b/>
          <w:sz w:val="22"/>
          <w:szCs w:val="22"/>
        </w:rPr>
        <w:t xml:space="preserve">. Справка о </w:t>
      </w:r>
      <w:r>
        <w:rPr>
          <w:b/>
          <w:sz w:val="22"/>
          <w:szCs w:val="22"/>
          <w:lang w:val="ru-RU"/>
        </w:rPr>
        <w:t>прочих</w:t>
      </w:r>
      <w:r>
        <w:rPr>
          <w:rFonts w:hint="default"/>
          <w:b/>
          <w:sz w:val="22"/>
          <w:szCs w:val="22"/>
          <w:lang w:val="ru-RU"/>
        </w:rPr>
        <w:t xml:space="preserve"> </w:t>
      </w:r>
      <w:r>
        <w:rPr>
          <w:b/>
          <w:sz w:val="22"/>
          <w:szCs w:val="22"/>
        </w:rPr>
        <w:t>материально-технических ресурсах</w:t>
      </w:r>
    </w:p>
    <w:p>
      <w:pPr>
        <w:rPr>
          <w:sz w:val="24"/>
          <w:szCs w:val="24"/>
        </w:rPr>
      </w:pPr>
    </w:p>
    <w:tbl>
      <w:tblPr>
        <w:tblStyle w:val="1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532"/>
        <w:gridCol w:w="1531"/>
        <w:gridCol w:w="1531"/>
        <w:gridCol w:w="1531"/>
        <w:gridCol w:w="1531"/>
        <w:gridCol w:w="1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720" w:type="dxa"/>
          </w:tcPr>
          <w:p>
            <w:pPr>
              <w:pStyle w:val="365"/>
              <w:rPr>
                <w:b/>
                <w:bCs/>
                <w:szCs w:val="22"/>
              </w:rPr>
            </w:pPr>
            <w:r>
              <w:rPr>
                <w:b/>
                <w:bCs/>
                <w:szCs w:val="22"/>
              </w:rPr>
              <w:t>№</w:t>
            </w:r>
          </w:p>
          <w:p>
            <w:pPr>
              <w:pStyle w:val="365"/>
              <w:rPr>
                <w:b/>
                <w:bCs/>
                <w:szCs w:val="22"/>
              </w:rPr>
            </w:pPr>
            <w:r>
              <w:rPr>
                <w:b/>
                <w:bCs/>
                <w:szCs w:val="22"/>
              </w:rPr>
              <w:t>п/п</w:t>
            </w:r>
          </w:p>
        </w:tc>
        <w:tc>
          <w:tcPr>
            <w:tcW w:w="1590" w:type="dxa"/>
          </w:tcPr>
          <w:p>
            <w:pPr>
              <w:pStyle w:val="365"/>
              <w:rPr>
                <w:b/>
                <w:bCs/>
                <w:szCs w:val="22"/>
              </w:rPr>
            </w:pPr>
            <w:r>
              <w:rPr>
                <w:b/>
                <w:bCs/>
                <w:szCs w:val="22"/>
              </w:rPr>
              <w:t>Наименование</w:t>
            </w:r>
          </w:p>
        </w:tc>
        <w:tc>
          <w:tcPr>
            <w:tcW w:w="1590" w:type="dxa"/>
          </w:tcPr>
          <w:p>
            <w:pPr>
              <w:pStyle w:val="365"/>
              <w:rPr>
                <w:b/>
                <w:bCs/>
                <w:szCs w:val="22"/>
              </w:rPr>
            </w:pPr>
            <w:r>
              <w:rPr>
                <w:b/>
                <w:bCs/>
                <w:szCs w:val="22"/>
              </w:rPr>
              <w:t>Место нахождения</w:t>
            </w:r>
          </w:p>
        </w:tc>
        <w:tc>
          <w:tcPr>
            <w:tcW w:w="1590" w:type="dxa"/>
          </w:tcPr>
          <w:p>
            <w:pPr>
              <w:pStyle w:val="365"/>
              <w:rPr>
                <w:b/>
                <w:bCs/>
                <w:szCs w:val="22"/>
              </w:rPr>
            </w:pPr>
            <w:r>
              <w:rPr>
                <w:b/>
                <w:bCs/>
                <w:szCs w:val="22"/>
              </w:rPr>
              <w:t>Право собственности или иное право (хозяйственного ведения, оперативного управления)</w:t>
            </w:r>
          </w:p>
        </w:tc>
        <w:tc>
          <w:tcPr>
            <w:tcW w:w="1590" w:type="dxa"/>
          </w:tcPr>
          <w:p>
            <w:pPr>
              <w:pStyle w:val="365"/>
              <w:rPr>
                <w:b/>
                <w:bCs/>
                <w:szCs w:val="22"/>
              </w:rPr>
            </w:pPr>
            <w:r>
              <w:rPr>
                <w:b/>
                <w:bCs/>
                <w:szCs w:val="22"/>
              </w:rPr>
              <w:t>Предназначение (с точки зрения выполнения Договора)</w:t>
            </w:r>
          </w:p>
        </w:tc>
        <w:tc>
          <w:tcPr>
            <w:tcW w:w="1590" w:type="dxa"/>
          </w:tcPr>
          <w:p>
            <w:pPr>
              <w:pStyle w:val="365"/>
              <w:rPr>
                <w:b/>
                <w:bCs/>
                <w:szCs w:val="22"/>
              </w:rPr>
            </w:pPr>
            <w:r>
              <w:rPr>
                <w:b/>
                <w:bCs/>
                <w:szCs w:val="22"/>
              </w:rPr>
              <w:t>Состояние</w:t>
            </w:r>
          </w:p>
        </w:tc>
        <w:tc>
          <w:tcPr>
            <w:tcW w:w="1253" w:type="dxa"/>
          </w:tcPr>
          <w:p>
            <w:pPr>
              <w:pStyle w:val="365"/>
              <w:rPr>
                <w:b/>
                <w:bCs/>
                <w:szCs w:val="22"/>
              </w:rPr>
            </w:pPr>
            <w:r>
              <w:rPr>
                <w:b/>
                <w:bCs/>
                <w:szCs w:val="22"/>
              </w:rPr>
              <w:t>Примечания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pStyle w:val="130"/>
            </w:pPr>
            <w:r>
              <w:t>…</w:t>
            </w: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bl>
    <w:p>
      <w:pPr>
        <w:rPr>
          <w:sz w:val="24"/>
          <w:szCs w:val="24"/>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rPr>
          <w:rFonts w:eastAsia="Arial Unicode MS"/>
          <w:bCs/>
          <w:i/>
          <w:color w:val="000000"/>
          <w:sz w:val="22"/>
          <w:szCs w:val="22"/>
          <w:lang w:eastAsia="zh-CN"/>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b w:val="0"/>
          <w:bCs/>
          <w:i/>
          <w:color w:val="000000" w:themeColor="text1"/>
          <w:sz w:val="22"/>
          <w:szCs w:val="22"/>
          <w:lang w:val="ru-RU" w:eastAsia="en-US"/>
          <w14:textFill>
            <w14:solidFill>
              <w14:schemeClr w14:val="tx1"/>
            </w14:solidFill>
          </w14:textFill>
        </w:rPr>
        <w:t>Справка</w:t>
      </w:r>
      <w:r>
        <w:rPr>
          <w:rFonts w:hint="default" w:eastAsia="Arial Unicode MS"/>
          <w:b w:val="0"/>
          <w:bCs/>
          <w:i/>
          <w:color w:val="000000" w:themeColor="text1"/>
          <w:sz w:val="22"/>
          <w:szCs w:val="22"/>
          <w:lang w:val="ru-RU" w:eastAsia="en-US"/>
          <w14:textFill>
            <w14:solidFill>
              <w14:schemeClr w14:val="tx1"/>
            </w14:solidFill>
          </w14:textFill>
        </w:rPr>
        <w:t xml:space="preserve"> заполняется по желанию Участника.</w:t>
      </w:r>
      <w:r>
        <w:rPr>
          <w:rFonts w:hint="default" w:eastAsia="Arial Unicode MS"/>
          <w:b/>
          <w:i/>
          <w:color w:val="000000" w:themeColor="text1"/>
          <w:sz w:val="22"/>
          <w:szCs w:val="22"/>
          <w:lang w:val="ru-RU" w:eastAsia="en-US"/>
          <w14:textFill>
            <w14:solidFill>
              <w14:schemeClr w14:val="tx1"/>
            </w14:solidFill>
          </w14:textFill>
        </w:rPr>
        <w:t xml:space="preserve"> </w:t>
      </w:r>
      <w:r>
        <w:rPr>
          <w:rFonts w:eastAsia="Arial Unicode MS"/>
          <w:bCs/>
          <w:i/>
          <w:color w:val="000000" w:themeColor="text1"/>
          <w:sz w:val="22"/>
          <w:szCs w:val="22"/>
          <w:lang w:eastAsia="en-US"/>
          <w14:textFill>
            <w14:solidFill>
              <w14:schemeClr w14:val="tx1"/>
            </w14:solidFill>
          </w14:textFill>
        </w:rPr>
        <w:t>В данной справке Участник указывает основные материально-технические ресурсы используемые в текущей операционной деятельности.</w:t>
      </w:r>
    </w:p>
    <w:p>
      <w:pPr>
        <w:jc w:val="right"/>
        <w:rPr>
          <w:b/>
          <w:sz w:val="24"/>
          <w:szCs w:val="24"/>
        </w:rPr>
      </w:pPr>
    </w:p>
    <w:p>
      <w:pPr>
        <w:suppressAutoHyphens/>
        <w:jc w:val="center"/>
        <w:rPr>
          <w:b/>
          <w:sz w:val="24"/>
          <w:szCs w:val="24"/>
        </w:rPr>
      </w:pPr>
    </w:p>
    <w:bookmarkEnd w:id="2"/>
    <w:p>
      <w:pPr>
        <w:jc w:val="both"/>
        <w:rPr>
          <w:rFonts w:eastAsia="Arial Unicode MS"/>
          <w:i/>
          <w:sz w:val="22"/>
          <w:szCs w:val="22"/>
          <w:lang w:eastAsia="en-US"/>
        </w:rPr>
      </w:pPr>
    </w:p>
    <w:sectPr>
      <w:footerReference r:id="rId8" w:type="default"/>
      <w:pgSz w:w="11906" w:h="16838"/>
      <w:pgMar w:top="1134" w:right="850" w:bottom="1134" w:left="1701"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Текстовое 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ri8PGU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Текстовое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AlYLZcQAIAAHUEAAAOAAAAAAAAAAEAIAAAAB8BAABkcnMv&#10;ZTJvRG9jLnhtbFBLBQYAAAAABgAGAFkBAADRBQAAAAA=&#10;">
              <v:fill on="f" focussize="0,0"/>
              <v:stroke on="f" weight="0.5pt"/>
              <v:imagedata o:title=""/>
              <o:lock v:ext="edit" aspectratio="f"/>
              <v:textbox inset="0mm,0mm,0mm,0mm" style="mso-fit-shape-to-text:t;">
                <w:txbxContent>
                  <w:p>
                    <w:pPr>
                      <w:pStyle w:val="42"/>
                      <w:jc w:val="right"/>
                    </w:pPr>
                    <w:r>
                      <w:fldChar w:fldCharType="begin"/>
                    </w:r>
                    <w:r>
                      <w:instrText xml:space="preserve"> PAGE  \* MERGEFORMAT </w:instrText>
                    </w:r>
                    <w:r>
                      <w:fldChar w:fldCharType="separate"/>
                    </w:r>
                    <w:r>
                      <w:t>1</w:t>
                    </w:r>
                    <w:r>
                      <w:fldChar w:fldCharType="end"/>
                    </w:r>
                  </w:p>
                </w:txbxContent>
              </v:textbox>
            </v:shape>
          </w:pict>
        </mc:Fallback>
      </mc:AlternateContent>
    </w:r>
  </w:p>
  <w:p>
    <w:pPr>
      <w:pStyle w:val="4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Текстовое 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xvNZBAgAAdQQAAA4AAABkcnMvZTJvRG9jLnhtbK1Uy47TMBTdI/EP&#10;lvc0bdG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G81k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28</w:t>
                    </w:r>
                    <w:r>
                      <w:fldChar w:fldCharType="end"/>
                    </w:r>
                  </w:p>
                </w:txbxContent>
              </v:textbox>
            </v:shape>
          </w:pict>
        </mc:Fallback>
      </mc:AlternateContent>
    </w:r>
  </w:p>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80607"/>
    <w:multiLevelType w:val="singleLevel"/>
    <w:tmpl w:val="FF580607"/>
    <w:lvl w:ilvl="0" w:tentative="0">
      <w:start w:val="1"/>
      <w:numFmt w:val="bullet"/>
      <w:lvlText w:val=""/>
      <w:lvlJc w:val="left"/>
      <w:pPr>
        <w:tabs>
          <w:tab w:val="left" w:pos="420"/>
        </w:tabs>
        <w:ind w:left="420" w:hanging="420"/>
      </w:pPr>
      <w:rPr>
        <w:rFonts w:hint="default" w:ascii="Wingdings" w:hAnsi="Wingdings"/>
        <w:sz w:val="16"/>
      </w:rPr>
    </w:lvl>
  </w:abstractNum>
  <w:abstractNum w:abstractNumId="1">
    <w:nsid w:val="038553C1"/>
    <w:multiLevelType w:val="multilevel"/>
    <w:tmpl w:val="038553C1"/>
    <w:lvl w:ilvl="0" w:tentative="0">
      <w:start w:val="3"/>
      <w:numFmt w:val="decimal"/>
      <w:lvlText w:val="%1."/>
      <w:lvlJc w:val="left"/>
      <w:pPr>
        <w:ind w:left="3054" w:hanging="360"/>
      </w:pPr>
      <w:rPr>
        <w:rFonts w:hint="default"/>
      </w:rPr>
    </w:lvl>
    <w:lvl w:ilvl="1" w:tentative="0">
      <w:start w:val="1"/>
      <w:numFmt w:val="decimal"/>
      <w:lvlText w:val="%1.%2."/>
      <w:lvlJc w:val="left"/>
      <w:pPr>
        <w:ind w:left="1211" w:hanging="360"/>
      </w:pPr>
      <w:rPr>
        <w:rFonts w:hint="default"/>
        <w:b/>
        <w:bCs/>
      </w:rPr>
    </w:lvl>
    <w:lvl w:ilvl="2" w:tentative="0">
      <w:start w:val="1"/>
      <w:numFmt w:val="decimal"/>
      <w:lvlText w:val="%1.%2.%3."/>
      <w:lvlJc w:val="left"/>
      <w:pPr>
        <w:ind w:left="1430"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608" w:hanging="1800"/>
      </w:pPr>
      <w:rPr>
        <w:rFonts w:hint="default"/>
      </w:rPr>
    </w:lvl>
  </w:abstractNum>
  <w:abstractNum w:abstractNumId="2">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4">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5">
    <w:nsid w:val="2F1B55FF"/>
    <w:multiLevelType w:val="singleLevel"/>
    <w:tmpl w:val="2F1B55FF"/>
    <w:lvl w:ilvl="0" w:tentative="0">
      <w:start w:val="1"/>
      <w:numFmt w:val="decimal"/>
      <w:lvlText w:val="%1."/>
      <w:lvlJc w:val="left"/>
      <w:pPr>
        <w:tabs>
          <w:tab w:val="left" w:pos="360"/>
        </w:tabs>
        <w:ind w:left="360" w:hanging="360"/>
      </w:pPr>
    </w:lvl>
  </w:abstractNum>
  <w:abstractNum w:abstractNumId="6">
    <w:nsid w:val="33D94FBF"/>
    <w:multiLevelType w:val="multilevel"/>
    <w:tmpl w:val="33D94FBF"/>
    <w:lvl w:ilvl="0" w:tentative="0">
      <w:start w:val="1"/>
      <w:numFmt w:val="decimal"/>
      <w:lvlText w:val="%1."/>
      <w:lvlJc w:val="left"/>
      <w:pPr>
        <w:tabs>
          <w:tab w:val="left" w:pos="360"/>
        </w:tabs>
        <w:ind w:left="360"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47317163"/>
    <w:multiLevelType w:val="multilevel"/>
    <w:tmpl w:val="47317163"/>
    <w:lvl w:ilvl="0" w:tentative="0">
      <w:start w:val="1"/>
      <w:numFmt w:val="bullet"/>
      <w:lvlText w:val=""/>
      <w:lvlJc w:val="left"/>
      <w:pPr>
        <w:ind w:left="360" w:firstLine="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9">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0">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1">
    <w:nsid w:val="51665690"/>
    <w:multiLevelType w:val="multilevel"/>
    <w:tmpl w:val="51665690"/>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5D36DBAB"/>
    <w:multiLevelType w:val="singleLevel"/>
    <w:tmpl w:val="5D36DBAB"/>
    <w:lvl w:ilvl="0" w:tentative="0">
      <w:start w:val="1"/>
      <w:numFmt w:val="decimal"/>
      <w:suff w:val="space"/>
      <w:lvlText w:val="%1."/>
      <w:lvlJc w:val="left"/>
      <w:rPr>
        <w:rFonts w:hint="default"/>
        <w:b w:val="0"/>
        <w:bCs w:val="0"/>
        <w:color w:val="auto"/>
      </w:rPr>
    </w:lvl>
  </w:abstractNum>
  <w:abstractNum w:abstractNumId="13">
    <w:nsid w:val="78C42AC3"/>
    <w:multiLevelType w:val="singleLevel"/>
    <w:tmpl w:val="78C42AC3"/>
    <w:lvl w:ilvl="0" w:tentative="0">
      <w:start w:val="1"/>
      <w:numFmt w:val="decimal"/>
      <w:lvlText w:val="2.%1."/>
      <w:lvlJc w:val="left"/>
      <w:pPr>
        <w:tabs>
          <w:tab w:val="left" w:pos="425"/>
        </w:tabs>
        <w:ind w:left="425" w:hanging="425"/>
      </w:pPr>
      <w:rPr>
        <w:rFonts w:hint="default"/>
      </w:rPr>
    </w:lvl>
  </w:abstractNum>
  <w:abstractNum w:abstractNumId="14">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5"/>
  </w:num>
  <w:num w:numId="2">
    <w:abstractNumId w:val="14"/>
  </w:num>
  <w:num w:numId="3">
    <w:abstractNumId w:val="3"/>
  </w:num>
  <w:num w:numId="4">
    <w:abstractNumId w:val="9"/>
  </w:num>
  <w:num w:numId="5">
    <w:abstractNumId w:val="10"/>
  </w:num>
  <w:num w:numId="6">
    <w:abstractNumId w:val="4"/>
  </w:num>
  <w:num w:numId="7">
    <w:abstractNumId w:val="2"/>
  </w:num>
  <w:num w:numId="8">
    <w:abstractNumId w:val="8"/>
  </w:num>
  <w:num w:numId="9">
    <w:abstractNumId w:val="13"/>
  </w:num>
  <w:num w:numId="10">
    <w:abstractNumId w:val="1"/>
  </w:num>
  <w:num w:numId="11">
    <w:abstractNumId w:val="0"/>
  </w:num>
  <w:num w:numId="12">
    <w:abstractNumId w:val="11"/>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3D1A"/>
    <w:rsid w:val="000450EC"/>
    <w:rsid w:val="00056910"/>
    <w:rsid w:val="000674EA"/>
    <w:rsid w:val="000C074C"/>
    <w:rsid w:val="000D7F49"/>
    <w:rsid w:val="0012563D"/>
    <w:rsid w:val="00150E2C"/>
    <w:rsid w:val="00172C17"/>
    <w:rsid w:val="00180A3E"/>
    <w:rsid w:val="001B078D"/>
    <w:rsid w:val="001F6323"/>
    <w:rsid w:val="002131E0"/>
    <w:rsid w:val="002558A3"/>
    <w:rsid w:val="00292A85"/>
    <w:rsid w:val="002E1F65"/>
    <w:rsid w:val="00315EE0"/>
    <w:rsid w:val="00375EC8"/>
    <w:rsid w:val="00396AFA"/>
    <w:rsid w:val="003A458F"/>
    <w:rsid w:val="003A791D"/>
    <w:rsid w:val="003B12DB"/>
    <w:rsid w:val="003F263E"/>
    <w:rsid w:val="004517A4"/>
    <w:rsid w:val="00463FF0"/>
    <w:rsid w:val="004678D0"/>
    <w:rsid w:val="004944A1"/>
    <w:rsid w:val="004B6BB9"/>
    <w:rsid w:val="004B76D8"/>
    <w:rsid w:val="004B7B4A"/>
    <w:rsid w:val="004E4809"/>
    <w:rsid w:val="00591370"/>
    <w:rsid w:val="005C3F3B"/>
    <w:rsid w:val="005C6611"/>
    <w:rsid w:val="00607DEF"/>
    <w:rsid w:val="0063382C"/>
    <w:rsid w:val="006429B8"/>
    <w:rsid w:val="00692CED"/>
    <w:rsid w:val="006A21F4"/>
    <w:rsid w:val="006B00F0"/>
    <w:rsid w:val="006B37CC"/>
    <w:rsid w:val="006F097C"/>
    <w:rsid w:val="007B3232"/>
    <w:rsid w:val="00800DE0"/>
    <w:rsid w:val="00811642"/>
    <w:rsid w:val="00871A2A"/>
    <w:rsid w:val="008A1F8E"/>
    <w:rsid w:val="008C600A"/>
    <w:rsid w:val="0093117A"/>
    <w:rsid w:val="009525DE"/>
    <w:rsid w:val="00970A0F"/>
    <w:rsid w:val="00997831"/>
    <w:rsid w:val="009B58BA"/>
    <w:rsid w:val="009F288F"/>
    <w:rsid w:val="00A00932"/>
    <w:rsid w:val="00A271BC"/>
    <w:rsid w:val="00A50CF6"/>
    <w:rsid w:val="00A9711C"/>
    <w:rsid w:val="00AB38CA"/>
    <w:rsid w:val="00AD737F"/>
    <w:rsid w:val="00AF1A7F"/>
    <w:rsid w:val="00B11ACF"/>
    <w:rsid w:val="00B11D85"/>
    <w:rsid w:val="00B718C6"/>
    <w:rsid w:val="00B73C65"/>
    <w:rsid w:val="00B75770"/>
    <w:rsid w:val="00BB0CBD"/>
    <w:rsid w:val="00C1179E"/>
    <w:rsid w:val="00C83AE1"/>
    <w:rsid w:val="00C877B5"/>
    <w:rsid w:val="00C92F51"/>
    <w:rsid w:val="00CA4C58"/>
    <w:rsid w:val="00CD6562"/>
    <w:rsid w:val="00D147FE"/>
    <w:rsid w:val="00D35810"/>
    <w:rsid w:val="00DC1443"/>
    <w:rsid w:val="00DD5B2E"/>
    <w:rsid w:val="00DF5666"/>
    <w:rsid w:val="00E12B0D"/>
    <w:rsid w:val="00E459F3"/>
    <w:rsid w:val="00E50ABA"/>
    <w:rsid w:val="00EA7152"/>
    <w:rsid w:val="00EE50C6"/>
    <w:rsid w:val="00F126A6"/>
    <w:rsid w:val="00F622D4"/>
    <w:rsid w:val="00F636A5"/>
    <w:rsid w:val="00F9008E"/>
    <w:rsid w:val="00F90B1E"/>
    <w:rsid w:val="00FA18F4"/>
    <w:rsid w:val="00FB384D"/>
    <w:rsid w:val="00FC7402"/>
    <w:rsid w:val="00FD6F5F"/>
    <w:rsid w:val="020773B0"/>
    <w:rsid w:val="031D06F0"/>
    <w:rsid w:val="032950A3"/>
    <w:rsid w:val="03EC5496"/>
    <w:rsid w:val="0558520E"/>
    <w:rsid w:val="067E2201"/>
    <w:rsid w:val="068064EC"/>
    <w:rsid w:val="06BA28D6"/>
    <w:rsid w:val="08671295"/>
    <w:rsid w:val="08E04309"/>
    <w:rsid w:val="09452BF0"/>
    <w:rsid w:val="09900B0B"/>
    <w:rsid w:val="09E45F7F"/>
    <w:rsid w:val="0ACB4F8A"/>
    <w:rsid w:val="0B712907"/>
    <w:rsid w:val="0C131127"/>
    <w:rsid w:val="0D0E3BBA"/>
    <w:rsid w:val="0E3D479A"/>
    <w:rsid w:val="119D31A7"/>
    <w:rsid w:val="11BC2466"/>
    <w:rsid w:val="12024E68"/>
    <w:rsid w:val="12134B00"/>
    <w:rsid w:val="125A0C5A"/>
    <w:rsid w:val="131A73A1"/>
    <w:rsid w:val="13D830E2"/>
    <w:rsid w:val="144D0304"/>
    <w:rsid w:val="147B1407"/>
    <w:rsid w:val="17645160"/>
    <w:rsid w:val="18220B15"/>
    <w:rsid w:val="18234CC5"/>
    <w:rsid w:val="18675C18"/>
    <w:rsid w:val="1B0A5138"/>
    <w:rsid w:val="1B555320"/>
    <w:rsid w:val="1B657664"/>
    <w:rsid w:val="1D367BF8"/>
    <w:rsid w:val="1DCA202E"/>
    <w:rsid w:val="1DE71C83"/>
    <w:rsid w:val="1F911B4D"/>
    <w:rsid w:val="201B7F11"/>
    <w:rsid w:val="210551B6"/>
    <w:rsid w:val="214370BF"/>
    <w:rsid w:val="217D7FB8"/>
    <w:rsid w:val="21AF1133"/>
    <w:rsid w:val="221E7686"/>
    <w:rsid w:val="229138A9"/>
    <w:rsid w:val="23E67116"/>
    <w:rsid w:val="24A67F01"/>
    <w:rsid w:val="25D37E21"/>
    <w:rsid w:val="26CD653A"/>
    <w:rsid w:val="27692D93"/>
    <w:rsid w:val="27BF3449"/>
    <w:rsid w:val="283E4247"/>
    <w:rsid w:val="286B2387"/>
    <w:rsid w:val="29600717"/>
    <w:rsid w:val="2A1E3495"/>
    <w:rsid w:val="2AC54E66"/>
    <w:rsid w:val="2BB55B19"/>
    <w:rsid w:val="2BD255E6"/>
    <w:rsid w:val="2DAC227D"/>
    <w:rsid w:val="2EC402B5"/>
    <w:rsid w:val="304B3904"/>
    <w:rsid w:val="32560D2E"/>
    <w:rsid w:val="34B00EF2"/>
    <w:rsid w:val="34F34B4B"/>
    <w:rsid w:val="36AE2B78"/>
    <w:rsid w:val="36E95E7B"/>
    <w:rsid w:val="37652D9F"/>
    <w:rsid w:val="37785190"/>
    <w:rsid w:val="37C74A1C"/>
    <w:rsid w:val="393E65FD"/>
    <w:rsid w:val="39626BBC"/>
    <w:rsid w:val="3BEC43B3"/>
    <w:rsid w:val="3D4D7FD5"/>
    <w:rsid w:val="3E3603F1"/>
    <w:rsid w:val="3FC457DF"/>
    <w:rsid w:val="40EC7DDE"/>
    <w:rsid w:val="41C177A9"/>
    <w:rsid w:val="45F9158A"/>
    <w:rsid w:val="46492D1F"/>
    <w:rsid w:val="48817013"/>
    <w:rsid w:val="48D64ED6"/>
    <w:rsid w:val="492D2FAA"/>
    <w:rsid w:val="49EE0D59"/>
    <w:rsid w:val="4BF30D9E"/>
    <w:rsid w:val="4CDF1BF4"/>
    <w:rsid w:val="4CE335F9"/>
    <w:rsid w:val="4E173FA3"/>
    <w:rsid w:val="4E9B6208"/>
    <w:rsid w:val="50603462"/>
    <w:rsid w:val="50726B6E"/>
    <w:rsid w:val="5138503F"/>
    <w:rsid w:val="514E5C3F"/>
    <w:rsid w:val="51782C50"/>
    <w:rsid w:val="51963E58"/>
    <w:rsid w:val="522D519C"/>
    <w:rsid w:val="5304354B"/>
    <w:rsid w:val="53EF5083"/>
    <w:rsid w:val="540A50F6"/>
    <w:rsid w:val="55EA1BDA"/>
    <w:rsid w:val="59517B3A"/>
    <w:rsid w:val="59E64BBD"/>
    <w:rsid w:val="5B24462F"/>
    <w:rsid w:val="5B354C1D"/>
    <w:rsid w:val="5B9C5BD2"/>
    <w:rsid w:val="5C480118"/>
    <w:rsid w:val="5D1C1FAC"/>
    <w:rsid w:val="5D4355F8"/>
    <w:rsid w:val="5F2A3011"/>
    <w:rsid w:val="608B32BC"/>
    <w:rsid w:val="63CB11E3"/>
    <w:rsid w:val="63DC0124"/>
    <w:rsid w:val="65385EEE"/>
    <w:rsid w:val="66F22670"/>
    <w:rsid w:val="670E3A53"/>
    <w:rsid w:val="67D87514"/>
    <w:rsid w:val="68744862"/>
    <w:rsid w:val="68F56898"/>
    <w:rsid w:val="691E5421"/>
    <w:rsid w:val="6B7C38C5"/>
    <w:rsid w:val="6EA543C6"/>
    <w:rsid w:val="6F4917DB"/>
    <w:rsid w:val="70661D6E"/>
    <w:rsid w:val="71891280"/>
    <w:rsid w:val="72CA2CCE"/>
    <w:rsid w:val="73500E42"/>
    <w:rsid w:val="73B3631A"/>
    <w:rsid w:val="78E665CA"/>
    <w:rsid w:val="790B6B31"/>
    <w:rsid w:val="7A7632E8"/>
    <w:rsid w:val="7C2F2232"/>
    <w:rsid w:val="7CCB5E2F"/>
    <w:rsid w:val="7D152A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4D566-2C66-4A90-81E5-12FEF2DAACEA}">
  <ds:schemaRefs/>
</ds:datastoreItem>
</file>

<file path=customXml/itemProps3.xml><?xml version="1.0" encoding="utf-8"?>
<ds:datastoreItem xmlns:ds="http://schemas.openxmlformats.org/officeDocument/2006/customXml" ds:itemID="{20E43664-EF8A-4B63-824A-08BAD49170BC}">
  <ds:schemaRefs/>
</ds:datastoreItem>
</file>

<file path=customXml/itemProps4.xml><?xml version="1.0" encoding="utf-8"?>
<ds:datastoreItem xmlns:ds="http://schemas.openxmlformats.org/officeDocument/2006/customXml" ds:itemID="{D0A02915-CC9B-4655-A9F9-9792A44614E2}">
  <ds:schemaRefs/>
</ds:datastoreItem>
</file>

<file path=docProps/app.xml><?xml version="1.0" encoding="utf-8"?>
<Properties xmlns="http://schemas.openxmlformats.org/officeDocument/2006/extended-properties" xmlns:vt="http://schemas.openxmlformats.org/officeDocument/2006/docPropsVTypes">
  <Template>Normal</Template>
  <Company>DVFU</Company>
  <Pages>33</Pages>
  <Words>10142</Words>
  <Characters>57811</Characters>
  <Lines>481</Lines>
  <Paragraphs>135</Paragraphs>
  <TotalTime>9</TotalTime>
  <ScaleCrop>false</ScaleCrop>
  <LinksUpToDate>false</LinksUpToDate>
  <CharactersWithSpaces>67818</CharactersWithSpaces>
  <Application>WPS Office_11.2.0.11440_F1E327BC-269C-435d-A152-05C5408002CA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 osipov</cp:lastModifiedBy>
  <cp:lastPrinted>2022-12-15T00:50:00Z</cp:lastPrinted>
  <dcterms:modified xsi:type="dcterms:W3CDTF">2022-12-19T04:59:44Z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